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center"/>
        <w:rPr>
          <w:color w:val="000000"/>
          <w:shd w:fill="FFFFFF" w:val="clear"/>
        </w:rPr>
      </w:pPr>
      <w:r>
        <w:rPr>
          <w:color w:val="000000"/>
          <w:shd w:fill="FFFFFF" w:val="clear"/>
        </w:rPr>
        <w:t xml:space="preserve">  </w:t>
      </w:r>
    </w:p>
    <w:p>
      <w:pPr>
        <w:pStyle w:val="HorizontalLine"/>
        <w:bidi w:val="0"/>
        <w:jc w:val="center"/>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8-K/A</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Amendment No. 1</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r>
    </w:p>
    <w:p>
      <w:pPr>
        <w:pStyle w:val="HorizontalLine"/>
        <w:bidi w:val="0"/>
        <w:jc w:val="center"/>
        <w:rPr/>
      </w:pPr>
      <w:r>
        <w:rPr/>
      </w:r>
    </w:p>
    <w:p>
      <w:pPr>
        <w:pStyle w:val="TextBody"/>
        <w:bidi w:val="0"/>
        <w:spacing w:before="0" w:after="0"/>
        <w:jc w:val="center"/>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of the Securities Exchange Act of 1934</w:t>
      </w:r>
    </w:p>
    <w:p>
      <w:pPr>
        <w:pStyle w:val="TextBody"/>
        <w:bidi w:val="0"/>
        <w:spacing w:before="0" w:after="0"/>
        <w:jc w:val="center"/>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Date of Report (Date of earliest event reported): August 13, 2026 (July 20, 2026)</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r>
    </w:p>
    <w:p>
      <w:pPr>
        <w:pStyle w:val="HorizontalLine"/>
        <w:bidi w:val="0"/>
        <w:jc w:val="center"/>
        <w:rPr/>
      </w:pPr>
      <w:r>
        <w:rPr/>
      </w:r>
    </w:p>
    <w:p>
      <w:pPr>
        <w:pStyle w:val="TextBody"/>
        <w:bidi w:val="0"/>
        <w:spacing w:before="0" w:after="0"/>
        <w:jc w:val="left"/>
        <w:rPr/>
      </w:pPr>
      <w:r>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FREENOME, INC.</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(Exact name of registrant as specified in its charter)</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r>
    </w:p>
    <w:p>
      <w:pPr>
        <w:pStyle w:val="HorizontalLine"/>
        <w:bidi w:val="0"/>
        <w:jc w:val="center"/>
        <w:rPr/>
      </w:pPr>
      <w:r>
        <w:rPr/>
      </w:r>
    </w:p>
    <w:p>
      <w:pPr>
        <w:pStyle w:val="TextBody"/>
        <w:bidi w:val="0"/>
        <w:spacing w:before="0" w:after="0"/>
        <w:jc w:val="left"/>
        <w:rPr>
          <w:sz w:val="20"/>
        </w:rPr>
      </w:pPr>
      <w:r>
        <w:rPr>
          <w:sz w:val="20"/>
        </w:rPr>
      </w:r>
    </w:p>
    <w:tbl>
      <w:tblPr>
        <w:tblW w:w="8971" w:type="dxa"/>
        <w:jc w:val="left"/>
        <w:tblInd w:w="0" w:type="dxa"/>
        <w:tblLayout w:type="fixed"/>
        <w:tblCellMar>
          <w:top w:w="0" w:type="dxa"/>
          <w:left w:w="0" w:type="dxa"/>
          <w:bottom w:w="28" w:type="dxa"/>
          <w:right w:w="0" w:type="dxa"/>
        </w:tblCellMar>
      </w:tblPr>
      <w:tblGrid>
        <w:gridCol w:w="3755"/>
        <w:gridCol w:w="23"/>
        <w:gridCol w:w="2300"/>
        <w:gridCol w:w="23"/>
        <w:gridCol w:w="2870"/>
      </w:tblGrid>
      <w:tr>
        <w:trPr/>
        <w:tc>
          <w:tcPr>
            <w:tcW w:w="375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Delaware</w:t>
            </w:r>
          </w:p>
        </w:tc>
        <w:tc>
          <w:tcPr>
            <w:tcW w:w="23" w:type="dxa"/>
            <w:tcBorders/>
            <w:tcMar>
              <w:bottom w:w="0" w:type="dxa"/>
            </w:tcMar>
            <w:vAlign w:val="center"/>
          </w:tcPr>
          <w:p>
            <w:pPr>
              <w:pStyle w:val="TableContents"/>
              <w:bidi w:val="0"/>
              <w:spacing w:before="0" w:after="283"/>
              <w:jc w:val="left"/>
              <w:rPr/>
            </w:pPr>
            <w:r>
              <w:rPr/>
            </w:r>
          </w:p>
        </w:tc>
        <w:tc>
          <w:tcPr>
            <w:tcW w:w="230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001-42126</w:t>
            </w:r>
          </w:p>
        </w:tc>
        <w:tc>
          <w:tcPr>
            <w:tcW w:w="23" w:type="dxa"/>
            <w:tcBorders/>
            <w:tcMar>
              <w:bottom w:w="0" w:type="dxa"/>
            </w:tcMar>
            <w:vAlign w:val="center"/>
          </w:tcPr>
          <w:p>
            <w:pPr>
              <w:pStyle w:val="TableContents"/>
              <w:bidi w:val="0"/>
              <w:spacing w:before="0" w:after="283"/>
              <w:jc w:val="left"/>
              <w:rPr/>
            </w:pPr>
            <w:r>
              <w:rPr/>
            </w:r>
          </w:p>
        </w:tc>
        <w:tc>
          <w:tcPr>
            <w:tcW w:w="287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98-1783595</w:t>
            </w:r>
          </w:p>
        </w:tc>
      </w:tr>
      <w:tr>
        <w:trPr/>
        <w:tc>
          <w:tcPr>
            <w:tcW w:w="3755" w:type="dxa"/>
            <w:tcBorders/>
            <w:tcMar>
              <w:bottom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(State or other jurisdiction of incorporation)</w:t>
            </w:r>
          </w:p>
        </w:tc>
        <w:tc>
          <w:tcPr>
            <w:tcW w:w="23" w:type="dxa"/>
            <w:tcBorders/>
            <w:tcMar>
              <w:bottom w:w="0" w:type="dxa"/>
            </w:tcMar>
            <w:vAlign w:val="center"/>
          </w:tcPr>
          <w:p>
            <w:pPr>
              <w:pStyle w:val="TableContents"/>
              <w:bidi w:val="0"/>
              <w:spacing w:before="0" w:after="283"/>
              <w:jc w:val="left"/>
              <w:rPr/>
            </w:pPr>
            <w:r>
              <w:rPr/>
            </w:r>
          </w:p>
        </w:tc>
        <w:tc>
          <w:tcPr>
            <w:tcW w:w="2300" w:type="dxa"/>
            <w:tcBorders/>
            <w:tcMar>
              <w:bottom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(Commission File Number)</w:t>
            </w:r>
          </w:p>
        </w:tc>
        <w:tc>
          <w:tcPr>
            <w:tcW w:w="23" w:type="dxa"/>
            <w:tcBorders/>
            <w:tcMar>
              <w:bottom w:w="0" w:type="dxa"/>
            </w:tcMar>
            <w:vAlign w:val="center"/>
          </w:tcPr>
          <w:p>
            <w:pPr>
              <w:pStyle w:val="TableContents"/>
              <w:bidi w:val="0"/>
              <w:spacing w:before="0" w:after="283"/>
              <w:jc w:val="left"/>
              <w:rPr/>
            </w:pPr>
            <w:r>
              <w:rPr/>
            </w:r>
          </w:p>
        </w:tc>
        <w:tc>
          <w:tcPr>
            <w:tcW w:w="2870" w:type="dxa"/>
            <w:tcBorders/>
            <w:tcMar>
              <w:bottom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(IRS Employer Identification No.)</w:t>
            </w:r>
          </w:p>
        </w:tc>
      </w:tr>
    </w:tbl>
    <w:p>
      <w:pPr>
        <w:pStyle w:val="TextBody"/>
        <w:bidi w:val="0"/>
        <w:spacing w:before="0" w:after="0"/>
        <w:jc w:val="center"/>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Genesis Marina, 3300 Marina Blvd,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Brisbane, CA 94005</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(Address of principal executive offices including zip code)</w:t>
      </w:r>
    </w:p>
    <w:p>
      <w:pPr>
        <w:pStyle w:val="TextBody"/>
        <w:bidi w:val="0"/>
        <w:spacing w:before="0" w:after="0"/>
        <w:jc w:val="center"/>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Registrant’s telephone number, including area code: (650) 446-6630</w:t>
      </w:r>
    </w:p>
    <w:p>
      <w:pPr>
        <w:pStyle w:val="TextBody"/>
        <w:bidi w:val="0"/>
        <w:spacing w:before="0" w:after="0"/>
        <w:jc w:val="center"/>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Not Applicable</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(Former name or former address, if changed since last report)</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r>
    </w:p>
    <w:p>
      <w:pPr>
        <w:pStyle w:val="HorizontalLine"/>
        <w:bidi w:val="0"/>
        <w:jc w:val="left"/>
        <w:rPr/>
      </w:pPr>
      <w:r>
        <w:rPr/>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sz w:val="20"/>
        </w:rPr>
      </w:pPr>
      <w:r>
        <w:rPr>
          <w:sz w:val="20"/>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jc w:val="left"/>
        <w:rPr>
          <w:sz w:val="20"/>
        </w:rPr>
      </w:pPr>
      <w:r>
        <w:rPr>
          <w:sz w:val="20"/>
        </w:rPr>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spacing w:before="0" w:after="0"/>
        <w:jc w:val="left"/>
        <w:rPr>
          <w:sz w:val="20"/>
        </w:rPr>
      </w:pPr>
      <w:r>
        <w:rPr>
          <w:sz w:val="20"/>
        </w:rPr>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spacing w:before="0" w:after="0"/>
        <w:jc w:val="left"/>
        <w:rPr>
          <w:sz w:val="20"/>
        </w:rPr>
      </w:pPr>
      <w:r>
        <w:rPr>
          <w:sz w:val="20"/>
        </w:rPr>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sz w:val="20"/>
        </w:rPr>
      </w:pPr>
      <w:r>
        <w:rPr>
          <w:sz w:val="20"/>
        </w:rPr>
      </w:r>
    </w:p>
    <w:tbl>
      <w:tblPr>
        <w:tblW w:w="7410" w:type="dxa"/>
        <w:jc w:val="left"/>
        <w:tblInd w:w="0" w:type="dxa"/>
        <w:tblLayout w:type="fixed"/>
        <w:tblCellMar>
          <w:top w:w="0" w:type="dxa"/>
          <w:left w:w="0" w:type="dxa"/>
          <w:bottom w:w="28" w:type="dxa"/>
          <w:right w:w="0" w:type="dxa"/>
        </w:tblCellMar>
      </w:tblPr>
      <w:tblGrid>
        <w:gridCol w:w="1520"/>
        <w:gridCol w:w="60"/>
        <w:gridCol w:w="3770"/>
        <w:gridCol w:w="60"/>
        <w:gridCol w:w="2000"/>
      </w:tblGrid>
      <w:tr>
        <w:trPr/>
        <w:tc>
          <w:tcPr>
            <w:tcW w:w="152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377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200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Name of each exchange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on which registered</w:t>
            </w:r>
          </w:p>
        </w:tc>
      </w:tr>
      <w:tr>
        <w:trPr/>
        <w:tc>
          <w:tcPr>
            <w:tcW w:w="1520" w:type="dxa"/>
            <w:tcBorders/>
            <w:tcMar>
              <w:bottom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FRNM</w:t>
            </w:r>
          </w:p>
        </w:tc>
        <w:tc>
          <w:tcPr>
            <w:tcW w:w="60" w:type="dxa"/>
            <w:tcBorders/>
            <w:tcMar>
              <w:bottom w:w="0" w:type="dxa"/>
            </w:tcMar>
            <w:vAlign w:val="center"/>
          </w:tcPr>
          <w:p>
            <w:pPr>
              <w:pStyle w:val="TableContents"/>
              <w:bidi w:val="0"/>
              <w:spacing w:before="0" w:after="283"/>
              <w:jc w:val="left"/>
              <w:rPr/>
            </w:pPr>
            <w:r>
              <w:rPr/>
              <w:t> </w:t>
            </w:r>
          </w:p>
        </w:tc>
        <w:tc>
          <w:tcPr>
            <w:tcW w:w="3770" w:type="dxa"/>
            <w:tcBorders/>
            <w:tcMar>
              <w:bottom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Common Stock, par value $0.0001 per share</w:t>
            </w:r>
          </w:p>
        </w:tc>
        <w:tc>
          <w:tcPr>
            <w:tcW w:w="60" w:type="dxa"/>
            <w:tcBorders/>
            <w:tcMar>
              <w:bottom w:w="0" w:type="dxa"/>
            </w:tcMar>
            <w:vAlign w:val="center"/>
          </w:tcPr>
          <w:p>
            <w:pPr>
              <w:pStyle w:val="TableContents"/>
              <w:bidi w:val="0"/>
              <w:spacing w:before="0" w:after="283"/>
              <w:jc w:val="left"/>
              <w:rPr/>
            </w:pPr>
            <w:r>
              <w:rPr/>
              <w:t> </w:t>
            </w:r>
          </w:p>
        </w:tc>
        <w:tc>
          <w:tcPr>
            <w:tcW w:w="2000" w:type="dxa"/>
            <w:tcBorders/>
            <w:tcMar>
              <w:bottom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NASDAQ</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sz w:val="20"/>
        </w:rPr>
      </w:pPr>
      <w:r>
        <w:rPr>
          <w:sz w:val="20"/>
        </w:rPr>
      </w:r>
    </w:p>
    <w:p>
      <w:pPr>
        <w:pStyle w:val="HorizontalLine"/>
        <w:bidi w:val="0"/>
        <w:jc w:val="left"/>
        <w:rPr/>
      </w:pPr>
      <w:r>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INTRODUCTORY NOTE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July 20, 2026, Freenome, Inc. (“New Freenome,” and previously known as Perceptive Capital Solutions Corp, a Cayman Islands exempted company (“PCSC”)), consummated the previously announced business combination (the “Business Combination”) pursuant to the terms of the business combination agreement, dated December 5, 2025 and amended on July 20, 2026, with StarNet Merger Sub I, Corp., a Delaware corporation and wholly-owned subsidiary of PCSC, StarNet Merger Sub II, LLC, a Delaware limited liability company and wholly-owned subsidiary of PCSC, and Freenome Holdings, Inc., a Delaware corporation (“Freenome”).</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New Freenome filed a Current Report on Form 8-K in connection with the Business Combination on July 24, 2026 (the “Original Report”). New Freenome is filing this Current Report on Form 8-K/A (“Amendment No. 1”) in order to include:</w:t>
      </w:r>
    </w:p>
    <w:p>
      <w:pPr>
        <w:pStyle w:val="TextBody"/>
        <w:bidi w:val="0"/>
        <w:spacing w:before="0" w:after="0"/>
        <w:jc w:val="left"/>
        <w:rPr>
          <w:sz w:val="20"/>
        </w:rPr>
      </w:pPr>
      <w:r>
        <w:rPr>
          <w:sz w:val="20"/>
        </w:rPr>
      </w:r>
    </w:p>
    <w:p>
      <w:pPr>
        <w:pStyle w:val="TextBody"/>
        <w:bidi w:val="0"/>
        <w:spacing w:before="0" w:after="0"/>
        <w:ind w:left="720" w:right="0" w:hanging="0"/>
        <w:jc w:val="both"/>
        <w:rPr>
          <w:rFonts w:ascii="Times New Roman" w:hAnsi="Times New Roman"/>
          <w:color w:val="000000"/>
          <w:sz w:val="20"/>
          <w:shd w:fill="FFFFFF" w:val="clear"/>
        </w:rPr>
      </w:pPr>
      <w:r>
        <w:rPr>
          <w:rFonts w:ascii="Times New Roman" w:hAnsi="Times New Roman"/>
          <w:color w:val="000000"/>
          <w:sz w:val="20"/>
          <w:shd w:fill="FFFFFF" w:val="clear"/>
        </w:rPr>
        <w:t>(a) The unaudited condensed consolidated financial statements of Freenome as of June 30, 2026 and for the three and six months ended June 30, 2026 and 2025 as Exhibit 99.1;</w:t>
      </w:r>
    </w:p>
    <w:p>
      <w:pPr>
        <w:pStyle w:val="TextBody"/>
        <w:bidi w:val="0"/>
        <w:spacing w:before="0" w:after="0"/>
        <w:jc w:val="left"/>
        <w:rPr>
          <w:sz w:val="20"/>
        </w:rPr>
      </w:pPr>
      <w:r>
        <w:rPr>
          <w:sz w:val="20"/>
        </w:rPr>
      </w:r>
    </w:p>
    <w:p>
      <w:pPr>
        <w:pStyle w:val="TextBody"/>
        <w:bidi w:val="0"/>
        <w:spacing w:before="0" w:after="0"/>
        <w:ind w:left="720" w:right="0" w:hanging="0"/>
        <w:jc w:val="both"/>
        <w:rPr>
          <w:rFonts w:ascii="Times New Roman" w:hAnsi="Times New Roman"/>
          <w:color w:val="000000"/>
          <w:sz w:val="20"/>
          <w:shd w:fill="FFFFFF" w:val="clear"/>
        </w:rPr>
      </w:pPr>
      <w:r>
        <w:rPr>
          <w:rFonts w:ascii="Times New Roman" w:hAnsi="Times New Roman"/>
          <w:color w:val="000000"/>
          <w:sz w:val="20"/>
          <w:shd w:fill="FFFFFF" w:val="clear"/>
        </w:rPr>
        <w:t>(b) Management’s Discussion and Analysis of Financial Condition and Results of Operations of Freenome for the three and six months ended June 30, 2026 and 2025 as Exhibit 99.2; and</w:t>
      </w:r>
    </w:p>
    <w:p>
      <w:pPr>
        <w:pStyle w:val="TextBody"/>
        <w:bidi w:val="0"/>
        <w:spacing w:before="0" w:after="0"/>
        <w:jc w:val="left"/>
        <w:rPr>
          <w:sz w:val="20"/>
        </w:rPr>
      </w:pPr>
      <w:r>
        <w:rPr>
          <w:sz w:val="20"/>
        </w:rPr>
      </w:r>
    </w:p>
    <w:p>
      <w:pPr>
        <w:pStyle w:val="TextBody"/>
        <w:bidi w:val="0"/>
        <w:spacing w:before="0" w:after="0"/>
        <w:ind w:left="720" w:right="0" w:hanging="0"/>
        <w:jc w:val="both"/>
        <w:rPr>
          <w:rFonts w:ascii="Times New Roman" w:hAnsi="Times New Roman"/>
          <w:color w:val="000000"/>
          <w:sz w:val="20"/>
          <w:shd w:fill="FFFFFF" w:val="clear"/>
        </w:rPr>
      </w:pPr>
      <w:r>
        <w:rPr>
          <w:rFonts w:ascii="Times New Roman" w:hAnsi="Times New Roman"/>
          <w:color w:val="000000"/>
          <w:sz w:val="20"/>
          <w:shd w:fill="FFFFFF" w:val="clear"/>
        </w:rPr>
        <w:t>(c) The unaudited pro forma condensed combined financial information of New Freenome as of and for the six months ended June 30, 2026 and the year ended December 31, 2025 as Exhibit 99.3.</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This Amendment No. 1 does not amend any other item of the Original Report or purport to provide an update or a discussion of any developments at New Freenome or its subsidiaries subsequent to the filing date of the Original Report. Except as provided herein, the disclosures made in the Original Report remain unchanged.</w:t>
      </w:r>
    </w:p>
    <w:p>
      <w:pPr>
        <w:pStyle w:val="TextBody"/>
        <w:bidi w:val="0"/>
        <w:spacing w:before="0" w:after="0"/>
        <w:jc w:val="left"/>
        <w:rPr>
          <w:sz w:val="20"/>
        </w:rPr>
      </w:pPr>
      <w:r>
        <w:rPr>
          <w:sz w:val="20"/>
        </w:rPr>
      </w:r>
    </w:p>
    <w:tbl>
      <w:tblPr>
        <w:tblW w:w="5110" w:type="dxa"/>
        <w:jc w:val="left"/>
        <w:tblInd w:w="0" w:type="dxa"/>
        <w:tblLayout w:type="fixed"/>
        <w:tblCellMar>
          <w:top w:w="0" w:type="dxa"/>
          <w:left w:w="0" w:type="dxa"/>
          <w:bottom w:w="0" w:type="dxa"/>
          <w:right w:w="0" w:type="dxa"/>
        </w:tblCellMar>
      </w:tblPr>
      <w:tblGrid>
        <w:gridCol w:w="875"/>
        <w:gridCol w:w="4235"/>
      </w:tblGrid>
      <w:tr>
        <w:trPr/>
        <w:tc>
          <w:tcPr>
            <w:tcW w:w="8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2.01.</w:t>
            </w:r>
          </w:p>
        </w:tc>
        <w:tc>
          <w:tcPr>
            <w:tcW w:w="423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Completion of Acquisition or Disposition of Assets</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Financial Information</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Management’s Discussion and Analysis of Financial Condition and Results of Operations of Freenome for the three and six months ended June 30, 2026 and 2025 is set forth in Exhibit 99.2 to this Amendment No. 1, and is incorporated herein by reference.</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Quantitative and Qualitative Disclosures about Market Risk</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a “smaller reporting company,” New Freenome is not required to provide this information.</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Financial Statements, Supplementary Data and Exhibits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Reference is made to the information set forth in sections (a) and (b) of Item 9.01 of this Amendment No. 1 and is incorporated herein by reference.</w:t>
      </w:r>
    </w:p>
    <w:p>
      <w:pPr>
        <w:pStyle w:val="TextBody"/>
        <w:bidi w:val="0"/>
        <w:spacing w:before="0" w:after="0"/>
        <w:jc w:val="left"/>
        <w:rPr>
          <w:sz w:val="20"/>
        </w:rPr>
      </w:pPr>
      <w:r>
        <w:rPr>
          <w:sz w:val="20"/>
        </w:rPr>
      </w:r>
    </w:p>
    <w:tbl>
      <w:tblPr>
        <w:tblW w:w="3790" w:type="dxa"/>
        <w:jc w:val="left"/>
        <w:tblInd w:w="0" w:type="dxa"/>
        <w:tblLayout w:type="fixed"/>
        <w:tblCellMar>
          <w:top w:w="0" w:type="dxa"/>
          <w:left w:w="0" w:type="dxa"/>
          <w:bottom w:w="0" w:type="dxa"/>
          <w:right w:w="0" w:type="dxa"/>
        </w:tblCellMar>
      </w:tblPr>
      <w:tblGrid>
        <w:gridCol w:w="875"/>
        <w:gridCol w:w="2915"/>
      </w:tblGrid>
      <w:tr>
        <w:trPr/>
        <w:tc>
          <w:tcPr>
            <w:tcW w:w="8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291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spacing w:before="0" w:after="0"/>
        <w:jc w:val="left"/>
        <w:rPr>
          <w:sz w:val="20"/>
        </w:rPr>
      </w:pPr>
      <w:r>
        <w:rPr>
          <w:sz w:val="20"/>
        </w:rPr>
      </w:r>
    </w:p>
    <w:tbl>
      <w:tblPr>
        <w:tblW w:w="3940" w:type="dxa"/>
        <w:jc w:val="left"/>
        <w:tblInd w:w="0" w:type="dxa"/>
        <w:tblLayout w:type="fixed"/>
        <w:tblCellMar>
          <w:top w:w="0" w:type="dxa"/>
          <w:left w:w="0" w:type="dxa"/>
          <w:bottom w:w="0" w:type="dxa"/>
          <w:right w:w="0" w:type="dxa"/>
        </w:tblCellMar>
      </w:tblPr>
      <w:tblGrid>
        <w:gridCol w:w="260"/>
        <w:gridCol w:w="3680"/>
      </w:tblGrid>
      <w:tr>
        <w:trPr/>
        <w:tc>
          <w:tcPr>
            <w:tcW w:w="260" w:type="dxa"/>
            <w:tcBorders/>
            <w:vAlign w:val="center"/>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(a)</w:t>
            </w:r>
          </w:p>
        </w:tc>
        <w:tc>
          <w:tcPr>
            <w:tcW w:w="3680" w:type="dxa"/>
            <w:tcBorders/>
            <w:vAlign w:val="center"/>
          </w:tcPr>
          <w:p>
            <w:pPr>
              <w:pStyle w:val="TableContents"/>
              <w:bidi w:val="0"/>
              <w:spacing w:before="0" w:after="0"/>
              <w:jc w:val="both"/>
              <w:rPr>
                <w:rFonts w:ascii="Times New Roman" w:hAnsi="Times New Roman"/>
                <w:i/>
                <w:color w:val="000000"/>
                <w:sz w:val="20"/>
              </w:rPr>
            </w:pPr>
            <w:r>
              <w:rPr>
                <w:rFonts w:ascii="Times New Roman" w:hAnsi="Times New Roman"/>
                <w:i/>
                <w:color w:val="000000"/>
                <w:sz w:val="20"/>
              </w:rPr>
              <w:t>Financial statements of businesses acquired.</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unaudited condensed consolidated financial statements of Freenome as of and for the six months ended June 30, 2026 and 2025, and the related notes thereto, are set forth in Exhibit 99.1 and are incorporated herein by reference. Also included as Exhibit 99.2 and incorporated herein by reference is Management’s Discussion and Analysis of Financial Condition and Results of Operations of Freenome for the three and six months ended June 30, 2026 and 2025.</w:t>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0" w:name="fc5fe81b467548198688ce2e970379f6"/>
      <w:bookmarkStart w:id="1" w:name="fc5fe81b467548198688ce2e970379f6"/>
      <w:bookmarkEnd w:id="1"/>
    </w:p>
    <w:tbl>
      <w:tblPr>
        <w:tblW w:w="3040" w:type="dxa"/>
        <w:jc w:val="left"/>
        <w:tblInd w:w="0" w:type="dxa"/>
        <w:tblLayout w:type="fixed"/>
        <w:tblCellMar>
          <w:top w:w="0" w:type="dxa"/>
          <w:left w:w="0" w:type="dxa"/>
          <w:bottom w:w="0" w:type="dxa"/>
          <w:right w:w="0" w:type="dxa"/>
        </w:tblCellMar>
      </w:tblPr>
      <w:tblGrid>
        <w:gridCol w:w="260"/>
        <w:gridCol w:w="2780"/>
      </w:tblGrid>
      <w:tr>
        <w:trPr/>
        <w:tc>
          <w:tcPr>
            <w:tcW w:w="260" w:type="dxa"/>
            <w:tcBorders/>
            <w:vAlign w:val="center"/>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(b)</w:t>
            </w:r>
          </w:p>
        </w:tc>
        <w:tc>
          <w:tcPr>
            <w:tcW w:w="2780" w:type="dxa"/>
            <w:tcBorders/>
            <w:vAlign w:val="center"/>
          </w:tcPr>
          <w:p>
            <w:pPr>
              <w:pStyle w:val="TableContents"/>
              <w:bidi w:val="0"/>
              <w:spacing w:before="0" w:after="0"/>
              <w:jc w:val="both"/>
              <w:rPr>
                <w:rFonts w:ascii="Times New Roman" w:hAnsi="Times New Roman"/>
                <w:i/>
                <w:color w:val="000000"/>
                <w:sz w:val="20"/>
              </w:rPr>
            </w:pPr>
            <w:r>
              <w:rPr>
                <w:rFonts w:ascii="Times New Roman" w:hAnsi="Times New Roman"/>
                <w:i/>
                <w:color w:val="000000"/>
                <w:sz w:val="20"/>
              </w:rPr>
              <w:t>Pro Forma financial information.</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unaudited pro forma condensed combined financial information of New Freenome as of and for the six months ended June 30, 2026 and for the year ended December 31, 2025, is set forth in Exhibit 99.3 hereto and is incorporated herein by reference.</w:t>
      </w:r>
    </w:p>
    <w:p>
      <w:pPr>
        <w:pStyle w:val="TextBody"/>
        <w:bidi w:val="0"/>
        <w:spacing w:before="0" w:after="0"/>
        <w:jc w:val="left"/>
        <w:rPr>
          <w:sz w:val="20"/>
        </w:rPr>
      </w:pPr>
      <w:r>
        <w:rPr>
          <w:sz w:val="20"/>
        </w:rPr>
      </w:r>
    </w:p>
    <w:tbl>
      <w:tblPr>
        <w:tblW w:w="955" w:type="dxa"/>
        <w:jc w:val="left"/>
        <w:tblInd w:w="0" w:type="dxa"/>
        <w:tblLayout w:type="fixed"/>
        <w:tblCellMar>
          <w:top w:w="0" w:type="dxa"/>
          <w:left w:w="0" w:type="dxa"/>
          <w:bottom w:w="0" w:type="dxa"/>
          <w:right w:w="0" w:type="dxa"/>
        </w:tblCellMar>
      </w:tblPr>
      <w:tblGrid>
        <w:gridCol w:w="245"/>
        <w:gridCol w:w="710"/>
      </w:tblGrid>
      <w:tr>
        <w:trPr/>
        <w:tc>
          <w:tcPr>
            <w:tcW w:w="245" w:type="dxa"/>
            <w:tcBorders/>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w:t>
            </w:r>
          </w:p>
        </w:tc>
        <w:tc>
          <w:tcPr>
            <w:tcW w:w="710" w:type="dxa"/>
            <w:tcBorders/>
            <w:vAlign w:val="center"/>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Exhibits</w:t>
            </w:r>
          </w:p>
        </w:tc>
      </w:tr>
    </w:tbl>
    <w:p>
      <w:pPr>
        <w:pStyle w:val="TextBody"/>
        <w:bidi w:val="0"/>
        <w:spacing w:before="0" w:after="0"/>
        <w:jc w:val="left"/>
        <w:rPr>
          <w:sz w:val="20"/>
        </w:rPr>
      </w:pPr>
      <w:r>
        <w:rPr>
          <w:sz w:val="20"/>
        </w:rPr>
      </w:r>
    </w:p>
    <w:tbl>
      <w:tblPr>
        <w:tblW w:w="10205" w:type="dxa"/>
        <w:jc w:val="left"/>
        <w:tblInd w:w="0" w:type="dxa"/>
        <w:tblLayout w:type="fixed"/>
        <w:tblCellMar>
          <w:top w:w="0" w:type="dxa"/>
          <w:left w:w="0" w:type="dxa"/>
          <w:bottom w:w="0" w:type="dxa"/>
          <w:right w:w="0" w:type="dxa"/>
        </w:tblCellMar>
      </w:tblPr>
      <w:tblGrid>
        <w:gridCol w:w="650"/>
        <w:gridCol w:w="9555"/>
      </w:tblGrid>
      <w:tr>
        <w:trPr/>
        <w:tc>
          <w:tcPr>
            <w:tcW w:w="65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No.</w:t>
            </w:r>
          </w:p>
        </w:tc>
        <w:tc>
          <w:tcPr>
            <w:tcW w:w="955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Description</w:t>
            </w:r>
          </w:p>
        </w:tc>
      </w:tr>
      <w:tr>
        <w:trPr/>
        <w:tc>
          <w:tcPr>
            <w:tcW w:w="650" w:type="dxa"/>
            <w:tcBorders/>
            <w:vAlign w:val="center"/>
          </w:tcPr>
          <w:p>
            <w:pPr>
              <w:pStyle w:val="TableContents"/>
              <w:bidi w:val="0"/>
              <w:spacing w:before="0" w:after="0"/>
              <w:jc w:val="left"/>
              <w:rPr/>
            </w:pPr>
            <w:hyperlink w:anchor="ef20080133_ex99-1.htm">
              <w:r>
                <w:rPr>
                  <w:rStyle w:val="InternetLink"/>
                  <w:rFonts w:ascii="Times New Roman" w:hAnsi="Times New Roman"/>
                  <w:sz w:val="20"/>
                </w:rPr>
                <w:t>99.1*</w:t>
              </w:r>
            </w:hyperlink>
          </w:p>
        </w:tc>
        <w:tc>
          <w:tcPr>
            <w:tcW w:w="955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Unaudited condensed consolidated financial statements of Freenome as of June 30, 2026 and for the six months ended June 30, 2026 and 2025.</w:t>
            </w:r>
          </w:p>
        </w:tc>
      </w:tr>
      <w:tr>
        <w:trPr/>
        <w:tc>
          <w:tcPr>
            <w:tcW w:w="650" w:type="dxa"/>
            <w:tcBorders/>
            <w:vAlign w:val="center"/>
          </w:tcPr>
          <w:p>
            <w:pPr>
              <w:pStyle w:val="TableContents"/>
              <w:bidi w:val="0"/>
              <w:spacing w:before="0" w:after="0"/>
              <w:jc w:val="left"/>
              <w:rPr/>
            </w:pPr>
            <w:hyperlink w:anchor="ef20080133_ex99-2.htm">
              <w:r>
                <w:rPr>
                  <w:rStyle w:val="InternetLink"/>
                  <w:rFonts w:ascii="Times New Roman" w:hAnsi="Times New Roman"/>
                  <w:sz w:val="20"/>
                </w:rPr>
                <w:t>99.2*</w:t>
              </w:r>
            </w:hyperlink>
          </w:p>
        </w:tc>
        <w:tc>
          <w:tcPr>
            <w:tcW w:w="955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Management’s Discussion and Analysis of Financial Condition and Results of Operations of Freenome for the three and six months ended June 30, 2026 and 2025.</w:t>
            </w:r>
          </w:p>
        </w:tc>
      </w:tr>
      <w:tr>
        <w:trPr/>
        <w:tc>
          <w:tcPr>
            <w:tcW w:w="650" w:type="dxa"/>
            <w:tcBorders/>
            <w:vAlign w:val="center"/>
          </w:tcPr>
          <w:p>
            <w:pPr>
              <w:pStyle w:val="TableContents"/>
              <w:bidi w:val="0"/>
              <w:spacing w:before="0" w:after="0"/>
              <w:jc w:val="left"/>
              <w:rPr/>
            </w:pPr>
            <w:hyperlink w:anchor="ef20080133_ex99-3.htm">
              <w:r>
                <w:rPr>
                  <w:rStyle w:val="InternetLink"/>
                  <w:rFonts w:ascii="Times New Roman" w:hAnsi="Times New Roman"/>
                  <w:sz w:val="20"/>
                </w:rPr>
                <w:t>99.3*</w:t>
              </w:r>
            </w:hyperlink>
          </w:p>
        </w:tc>
        <w:tc>
          <w:tcPr>
            <w:tcW w:w="955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Unaudited pro forma condensed combined financial information of New Freenome as of and for the six months ended June 30, 2026 and for the year ended December 31, 2025.</w:t>
            </w:r>
          </w:p>
        </w:tc>
      </w:tr>
      <w:tr>
        <w:trPr/>
        <w:tc>
          <w:tcPr>
            <w:tcW w:w="65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104</w:t>
            </w:r>
          </w:p>
        </w:tc>
        <w:tc>
          <w:tcPr>
            <w:tcW w:w="955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bidi w:val="0"/>
        <w:spacing w:before="0" w:after="0"/>
        <w:jc w:val="left"/>
        <w:rPr>
          <w:sz w:val="20"/>
        </w:rPr>
      </w:pPr>
      <w:r>
        <w:rPr>
          <w:sz w:val="20"/>
        </w:rPr>
      </w:r>
    </w:p>
    <w:tbl>
      <w:tblPr>
        <w:tblW w:w="1420" w:type="dxa"/>
        <w:jc w:val="left"/>
        <w:tblInd w:w="0" w:type="dxa"/>
        <w:tblLayout w:type="fixed"/>
        <w:tblCellMar>
          <w:top w:w="0" w:type="dxa"/>
          <w:left w:w="0" w:type="dxa"/>
          <w:bottom w:w="0" w:type="dxa"/>
          <w:right w:w="0" w:type="dxa"/>
        </w:tblCellMar>
      </w:tblPr>
      <w:tblGrid>
        <w:gridCol w:w="140"/>
        <w:gridCol w:w="1280"/>
      </w:tblGrid>
      <w:tr>
        <w:trPr/>
        <w:tc>
          <w:tcPr>
            <w:tcW w:w="14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Filed Herewith.</w:t>
            </w:r>
          </w:p>
        </w:tc>
      </w:tr>
    </w:tbl>
    <w:p>
      <w:pPr>
        <w:pStyle w:val="TextBody"/>
        <w:bidi w:val="0"/>
        <w:spacing w:before="0" w:after="0"/>
        <w:jc w:val="left"/>
        <w:rPr>
          <w:sz w:val="20"/>
        </w:rPr>
      </w:pPr>
      <w:r>
        <w:rPr>
          <w:sz w:val="20"/>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Exchange Act, the registrant has duly caused this report to be signed on its behalf by the undersigned hereunto duly authorized.</w:t>
      </w:r>
    </w:p>
    <w:p>
      <w:pPr>
        <w:pStyle w:val="TextBody"/>
        <w:bidi w:val="0"/>
        <w:spacing w:before="0" w:after="0"/>
        <w:jc w:val="left"/>
        <w:rPr>
          <w:sz w:val="20"/>
        </w:rPr>
      </w:pPr>
      <w:r>
        <w:rPr>
          <w:sz w:val="20"/>
        </w:rPr>
      </w:r>
    </w:p>
    <w:tbl>
      <w:tblPr>
        <w:tblW w:w="3789" w:type="dxa"/>
        <w:jc w:val="left"/>
        <w:tblInd w:w="0" w:type="dxa"/>
        <w:tblLayout w:type="fixed"/>
        <w:tblCellMar>
          <w:top w:w="0" w:type="dxa"/>
          <w:left w:w="0" w:type="dxa"/>
          <w:bottom w:w="0" w:type="dxa"/>
          <w:right w:w="0" w:type="dxa"/>
        </w:tblCellMar>
      </w:tblPr>
      <w:tblGrid>
        <w:gridCol w:w="183"/>
        <w:gridCol w:w="1666"/>
        <w:gridCol w:w="1940"/>
      </w:tblGrid>
      <w:tr>
        <w:trPr/>
        <w:tc>
          <w:tcPr>
            <w:tcW w:w="183" w:type="dxa"/>
            <w:tcBorders/>
            <w:vAlign w:val="center"/>
          </w:tcPr>
          <w:p>
            <w:pPr>
              <w:pStyle w:val="TableContents"/>
              <w:bidi w:val="0"/>
              <w:spacing w:before="0" w:after="283"/>
              <w:jc w:val="left"/>
              <w:rPr/>
            </w:pPr>
            <w:r>
              <w:rPr/>
              <w:t> </w:t>
            </w:r>
          </w:p>
        </w:tc>
        <w:tc>
          <w:tcPr>
            <w:tcW w:w="3606" w:type="dxa"/>
            <w:gridSpan w:val="2"/>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FREENOME, INC.</w:t>
            </w:r>
          </w:p>
        </w:tc>
      </w:tr>
      <w:tr>
        <w:trPr/>
        <w:tc>
          <w:tcPr>
            <w:tcW w:w="183" w:type="dxa"/>
            <w:tcBorders/>
            <w:vAlign w:val="center"/>
          </w:tcPr>
          <w:p>
            <w:pPr>
              <w:pStyle w:val="TableContents"/>
              <w:bidi w:val="0"/>
              <w:spacing w:before="0" w:after="283"/>
              <w:jc w:val="left"/>
              <w:rPr/>
            </w:pPr>
            <w:r>
              <w:rPr/>
              <w:t> </w:t>
            </w:r>
          </w:p>
        </w:tc>
        <w:tc>
          <w:tcPr>
            <w:tcW w:w="1666"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r>
      <w:tr>
        <w:trPr/>
        <w:tc>
          <w:tcPr>
            <w:tcW w:w="183" w:type="dxa"/>
            <w:tcBorders/>
            <w:vAlign w:val="center"/>
          </w:tcPr>
          <w:p>
            <w:pPr>
              <w:pStyle w:val="TableContents"/>
              <w:bidi w:val="0"/>
              <w:spacing w:before="0" w:after="283"/>
              <w:jc w:val="left"/>
              <w:rPr/>
            </w:pPr>
            <w:r>
              <w:rPr/>
              <w:t> </w:t>
            </w:r>
          </w:p>
        </w:tc>
        <w:tc>
          <w:tcPr>
            <w:tcW w:w="1666"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1940"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Aaron Elliott</w:t>
            </w:r>
          </w:p>
        </w:tc>
      </w:tr>
      <w:tr>
        <w:trPr/>
        <w:tc>
          <w:tcPr>
            <w:tcW w:w="183" w:type="dxa"/>
            <w:tcBorders/>
            <w:vAlign w:val="center"/>
          </w:tcPr>
          <w:p>
            <w:pPr>
              <w:pStyle w:val="TableContents"/>
              <w:bidi w:val="0"/>
              <w:spacing w:before="0" w:after="283"/>
              <w:jc w:val="left"/>
              <w:rPr/>
            </w:pPr>
            <w:r>
              <w:rPr/>
              <w:t> </w:t>
            </w:r>
          </w:p>
        </w:tc>
        <w:tc>
          <w:tcPr>
            <w:tcW w:w="1666"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Name:</w:t>
            </w:r>
          </w:p>
        </w:tc>
        <w:tc>
          <w:tcPr>
            <w:tcW w:w="194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Aaron Elliott</w:t>
            </w:r>
          </w:p>
        </w:tc>
      </w:tr>
      <w:tr>
        <w:trPr/>
        <w:tc>
          <w:tcPr>
            <w:tcW w:w="183" w:type="dxa"/>
            <w:tcBorders/>
            <w:vAlign w:val="center"/>
          </w:tcPr>
          <w:p>
            <w:pPr>
              <w:pStyle w:val="TableContents"/>
              <w:bidi w:val="0"/>
              <w:spacing w:before="0" w:after="283"/>
              <w:jc w:val="left"/>
              <w:rPr/>
            </w:pPr>
            <w:r>
              <w:rPr/>
              <w:t> </w:t>
            </w:r>
          </w:p>
        </w:tc>
        <w:tc>
          <w:tcPr>
            <w:tcW w:w="1666"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Title:</w:t>
            </w:r>
          </w:p>
        </w:tc>
        <w:tc>
          <w:tcPr>
            <w:tcW w:w="194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Chief Executive Officer</w:t>
            </w:r>
          </w:p>
        </w:tc>
      </w:tr>
      <w:tr>
        <w:trPr/>
        <w:tc>
          <w:tcPr>
            <w:tcW w:w="183" w:type="dxa"/>
            <w:tcBorders/>
            <w:vAlign w:val="center"/>
          </w:tcPr>
          <w:p>
            <w:pPr>
              <w:pStyle w:val="TableContents"/>
              <w:bidi w:val="0"/>
              <w:spacing w:before="0" w:after="283"/>
              <w:jc w:val="left"/>
              <w:rPr/>
            </w:pPr>
            <w:r>
              <w:rPr/>
              <w:t> </w:t>
            </w:r>
          </w:p>
        </w:tc>
        <w:tc>
          <w:tcPr>
            <w:tcW w:w="1666"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r>
      <w:tr>
        <w:trPr/>
        <w:tc>
          <w:tcPr>
            <w:tcW w:w="1849"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 August 13, 2026</w:t>
            </w:r>
          </w:p>
        </w:tc>
        <w:tc>
          <w:tcPr>
            <w:tcW w:w="1940" w:type="dxa"/>
            <w:tcBorders/>
            <w:vAlign w:val="center"/>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0" w:after="0"/>
        <w:jc w:val="left"/>
        <w:rPr/>
      </w:pPr>
      <w:r>
        <w:rPr/>
      </w:r>
    </w:p>
    <w:p>
      <w:pPr>
        <w:pStyle w:val="HorizontalLine"/>
        <w:bidi w:val="0"/>
        <w:jc w:val="left"/>
        <w:rPr/>
      </w:pPr>
      <w:r>
        <w:rPr/>
      </w:r>
    </w:p>
    <w:p>
      <w:pPr>
        <w:pStyle w:val="HorizontalLine"/>
        <w:pBdr>
          <w:bottom w:val="single" w:sz="12" w:space="0" w:color="808080"/>
        </w:pBdr>
        <w:bidi w:val="0"/>
        <w:jc w:val="left"/>
        <w:rPr/>
      </w:pPr>
      <w:r>
        <w:rPr/>
      </w:r>
      <w:bookmarkStart w:id="2" w:name="ef20080133_ex99-1.htm"/>
      <w:bookmarkStart w:id="3" w:name="ksef20080133_ex991"/>
      <w:bookmarkStart w:id="4" w:name="ef20080133_ex99-1.htm"/>
      <w:bookmarkStart w:id="5" w:name="ksef20080133_ex991"/>
      <w:bookmarkEnd w:id="4"/>
      <w:bookmarkEnd w:id="5"/>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right"/>
        <w:rPr>
          <w:b/>
          <w:color w:val="000000"/>
        </w:rPr>
      </w:pPr>
      <w:r>
        <w:rPr>
          <w:b/>
          <w:color w:val="00000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FREENOME HOLDINGS,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Condensed Consolidated Balance Sheets (unaudited)</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(in thousands, except shares and par value data)</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 w:name="z4f30b922d4384910a94c134dd85229ad"/>
      <w:bookmarkStart w:id="7" w:name="z4f30b922d4384910a94c134dd85229ad"/>
      <w:bookmarkEnd w:id="7"/>
    </w:p>
    <w:tbl>
      <w:tblPr>
        <w:tblW w:w="10205" w:type="dxa"/>
        <w:jc w:val="left"/>
        <w:tblInd w:w="0" w:type="dxa"/>
        <w:tblLayout w:type="fixed"/>
        <w:tblCellMar>
          <w:top w:w="0" w:type="dxa"/>
          <w:left w:w="0" w:type="dxa"/>
          <w:bottom w:w="0" w:type="dxa"/>
          <w:right w:w="0" w:type="dxa"/>
        </w:tblCellMar>
      </w:tblPr>
      <w:tblGrid>
        <w:gridCol w:w="7146"/>
        <w:gridCol w:w="60"/>
        <w:gridCol w:w="149"/>
        <w:gridCol w:w="1126"/>
        <w:gridCol w:w="95"/>
        <w:gridCol w:w="60"/>
        <w:gridCol w:w="172"/>
        <w:gridCol w:w="1300"/>
        <w:gridCol w:w="97"/>
      </w:tblGrid>
      <w:tr>
        <w:trPr/>
        <w:tc>
          <w:tcPr>
            <w:tcW w:w="7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5" w:type="dxa"/>
            <w:gridSpan w:val="2"/>
            <w:tcBorders/>
            <w:vAlign w:val="bottom"/>
          </w:tcPr>
          <w:p>
            <w:pPr>
              <w:pStyle w:val="TableContents"/>
              <w:bidi w:val="0"/>
              <w:spacing w:before="0" w:after="0"/>
              <w:jc w:val="center"/>
              <w:rPr>
                <w:b/>
                <w:color w:val="000000"/>
              </w:rPr>
            </w:pPr>
            <w:r>
              <w:rPr>
                <w:b/>
                <w:color w:val="000000"/>
              </w:rPr>
              <w:t>June 30, 2026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2" w:type="dxa"/>
            <w:gridSpan w:val="2"/>
            <w:tcBorders/>
            <w:vAlign w:val="center"/>
          </w:tcPr>
          <w:p>
            <w:pPr>
              <w:pStyle w:val="TableContents"/>
              <w:bidi w:val="0"/>
              <w:spacing w:before="0" w:after="0"/>
              <w:jc w:val="center"/>
              <w:rPr>
                <w:b/>
                <w:color w:val="000000"/>
              </w:rPr>
            </w:pPr>
            <w:r>
              <w:rPr>
                <w:b/>
                <w:color w:val="000000"/>
              </w:rPr>
              <w:t>December 31, 2025</w:t>
            </w:r>
          </w:p>
        </w:tc>
        <w:tc>
          <w:tcPr>
            <w:tcW w:w="97" w:type="dxa"/>
            <w:tcBorders/>
            <w:vAlign w:val="bottom"/>
          </w:tcPr>
          <w:p>
            <w:pPr>
              <w:pStyle w:val="TableContents"/>
              <w:bidi w:val="0"/>
              <w:spacing w:before="0" w:after="283"/>
              <w:jc w:val="left"/>
              <w:rPr/>
            </w:pPr>
            <w:r>
              <w:rPr/>
              <w:t> </w:t>
            </w:r>
          </w:p>
        </w:tc>
      </w:tr>
      <w:tr>
        <w:trPr/>
        <w:tc>
          <w:tcPr>
            <w:tcW w:w="7146" w:type="dxa"/>
            <w:tcBorders/>
            <w:vAlign w:val="bottom"/>
          </w:tcPr>
          <w:p>
            <w:pPr>
              <w:pStyle w:val="TableContents"/>
              <w:bidi w:val="0"/>
              <w:spacing w:before="0" w:after="0"/>
              <w:ind w:left="144" w:right="0" w:hanging="144"/>
              <w:jc w:val="left"/>
              <w:rPr>
                <w:b/>
                <w:color w:val="000000"/>
              </w:rPr>
            </w:pPr>
            <w:r>
              <w:rPr>
                <w:b/>
                <w:color w:val="000000"/>
              </w:rPr>
              <w:t>Assets</w:t>
            </w:r>
          </w:p>
        </w:tc>
        <w:tc>
          <w:tcPr>
            <w:tcW w:w="60" w:type="dxa"/>
            <w:tcBorders/>
            <w:vAlign w:val="bottom"/>
          </w:tcPr>
          <w:p>
            <w:pPr>
              <w:pStyle w:val="TableContents"/>
              <w:bidi w:val="0"/>
              <w:spacing w:before="0" w:after="283"/>
              <w:jc w:val="left"/>
              <w:rPr/>
            </w:pPr>
            <w:r>
              <w:rPr/>
              <w:t> </w:t>
            </w:r>
          </w:p>
        </w:tc>
        <w:tc>
          <w:tcPr>
            <w:tcW w:w="127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2" w:type="dxa"/>
            <w:gridSpan w:val="2"/>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r>
      <w:tr>
        <w:trPr/>
        <w:tc>
          <w:tcPr>
            <w:tcW w:w="7146" w:type="dxa"/>
            <w:tcBorders/>
            <w:vAlign w:val="bottom"/>
          </w:tcPr>
          <w:p>
            <w:pPr>
              <w:pStyle w:val="TableContents"/>
              <w:bidi w:val="0"/>
              <w:spacing w:before="0" w:after="0"/>
              <w:ind w:left="144" w:right="0" w:hanging="144"/>
              <w:jc w:val="left"/>
              <w:rPr>
                <w:color w:val="000000"/>
              </w:rPr>
            </w:pPr>
            <w:r>
              <w:rPr>
                <w:color w:val="000000"/>
              </w:rPr>
              <w:t>Current assets:</w:t>
            </w:r>
          </w:p>
        </w:tc>
        <w:tc>
          <w:tcPr>
            <w:tcW w:w="60" w:type="dxa"/>
            <w:tcBorders/>
            <w:vAlign w:val="bottom"/>
          </w:tcPr>
          <w:p>
            <w:pPr>
              <w:pStyle w:val="TableContents"/>
              <w:bidi w:val="0"/>
              <w:spacing w:before="0" w:after="283"/>
              <w:jc w:val="left"/>
              <w:rPr/>
            </w:pPr>
            <w:r>
              <w:rPr/>
              <w:t> </w:t>
            </w:r>
          </w:p>
        </w:tc>
        <w:tc>
          <w:tcPr>
            <w:tcW w:w="127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2" w:type="dxa"/>
            <w:gridSpan w:val="2"/>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r>
      <w:tr>
        <w:trPr/>
        <w:tc>
          <w:tcPr>
            <w:tcW w:w="7146" w:type="dxa"/>
            <w:tcBorders/>
            <w:shd w:fill="CCEEFF" w:val="clear"/>
            <w:vAlign w:val="bottom"/>
          </w:tcPr>
          <w:p>
            <w:pPr>
              <w:pStyle w:val="TableContents"/>
              <w:bidi w:val="0"/>
              <w:spacing w:before="0" w:after="0"/>
              <w:ind w:left="324" w:right="0" w:hanging="144"/>
              <w:jc w:val="left"/>
              <w:rPr>
                <w:color w:val="000000"/>
              </w:rPr>
            </w:pPr>
            <w:r>
              <w:rPr>
                <w:color w:val="000000"/>
              </w:rPr>
              <w:t>Cash and cash equivalents</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0"/>
              <w:jc w:val="left"/>
              <w:rPr>
                <w:color w:val="000000"/>
              </w:rPr>
            </w:pPr>
            <w:r>
              <w:rPr>
                <w:color w:val="000000"/>
              </w:rPr>
              <w:t>$</w:t>
            </w:r>
          </w:p>
        </w:tc>
        <w:tc>
          <w:tcPr>
            <w:tcW w:w="1126" w:type="dxa"/>
            <w:tcBorders/>
            <w:shd w:fill="CCEEFF" w:val="clear"/>
            <w:vAlign w:val="bottom"/>
          </w:tcPr>
          <w:p>
            <w:pPr>
              <w:pStyle w:val="TableContents"/>
              <w:bidi w:val="0"/>
              <w:spacing w:before="0" w:after="0"/>
              <w:jc w:val="right"/>
              <w:rPr>
                <w:color w:val="000000"/>
              </w:rPr>
            </w:pPr>
            <w:r>
              <w:rPr>
                <w:color w:val="000000"/>
              </w:rPr>
              <w:t>85,467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2" w:type="dxa"/>
            <w:tcBorders/>
            <w:shd w:fill="CCEEFF" w:val="clear"/>
            <w:vAlign w:val="bottom"/>
          </w:tcPr>
          <w:p>
            <w:pPr>
              <w:pStyle w:val="TableContents"/>
              <w:bidi w:val="0"/>
              <w:spacing w:before="0" w:after="0"/>
              <w:jc w:val="left"/>
              <w:rPr>
                <w:color w:val="000000"/>
              </w:rPr>
            </w:pPr>
            <w:r>
              <w:rPr>
                <w:color w:val="000000"/>
              </w:rPr>
              <w:t>$</w:t>
            </w:r>
          </w:p>
        </w:tc>
        <w:tc>
          <w:tcPr>
            <w:tcW w:w="1300" w:type="dxa"/>
            <w:tcBorders/>
            <w:shd w:fill="CCEEFF" w:val="clear"/>
            <w:vAlign w:val="bottom"/>
          </w:tcPr>
          <w:p>
            <w:pPr>
              <w:pStyle w:val="TableContents"/>
              <w:bidi w:val="0"/>
              <w:spacing w:before="0" w:after="0"/>
              <w:jc w:val="right"/>
              <w:rPr>
                <w:color w:val="000000"/>
              </w:rPr>
            </w:pPr>
            <w:r>
              <w:rPr>
                <w:color w:val="000000"/>
              </w:rPr>
              <w:t>78,558</w:t>
            </w:r>
          </w:p>
        </w:tc>
        <w:tc>
          <w:tcPr>
            <w:tcW w:w="97" w:type="dxa"/>
            <w:tcBorders/>
            <w:shd w:fill="CCEEFF" w:val="clear"/>
            <w:vAlign w:val="bottom"/>
          </w:tcPr>
          <w:p>
            <w:pPr>
              <w:pStyle w:val="TableContents"/>
              <w:bidi w:val="0"/>
              <w:spacing w:before="0" w:after="283"/>
              <w:jc w:val="left"/>
              <w:rPr/>
            </w:pPr>
            <w:r>
              <w:rPr/>
              <w:t> </w:t>
            </w:r>
          </w:p>
        </w:tc>
      </w:tr>
      <w:tr>
        <w:trPr/>
        <w:tc>
          <w:tcPr>
            <w:tcW w:w="7146" w:type="dxa"/>
            <w:tcBorders/>
            <w:vAlign w:val="bottom"/>
          </w:tcPr>
          <w:p>
            <w:pPr>
              <w:pStyle w:val="TableContents"/>
              <w:bidi w:val="0"/>
              <w:spacing w:before="0" w:after="0"/>
              <w:ind w:left="324" w:right="0" w:hanging="144"/>
              <w:jc w:val="left"/>
              <w:rPr>
                <w:color w:val="000000"/>
              </w:rPr>
            </w:pPr>
            <w:r>
              <w:rPr>
                <w:color w:val="000000"/>
              </w:rPr>
              <w:t>Marketable securities</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0"/>
              <w:jc w:val="right"/>
              <w:rPr>
                <w:color w:val="000000"/>
              </w:rPr>
            </w:pPr>
            <w:r>
              <w:rPr>
                <w:color w:val="000000"/>
              </w:rPr>
              <w:t>16,557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2" w:type="dxa"/>
            <w:tcBorders/>
            <w:vAlign w:val="bottom"/>
          </w:tcPr>
          <w:p>
            <w:pPr>
              <w:pStyle w:val="TableContents"/>
              <w:bidi w:val="0"/>
              <w:spacing w:before="0" w:after="283"/>
              <w:jc w:val="left"/>
              <w:rPr/>
            </w:pPr>
            <w:r>
              <w:rPr/>
              <w:t> </w:t>
            </w:r>
          </w:p>
        </w:tc>
        <w:tc>
          <w:tcPr>
            <w:tcW w:w="1300" w:type="dxa"/>
            <w:tcBorders/>
            <w:vAlign w:val="bottom"/>
          </w:tcPr>
          <w:p>
            <w:pPr>
              <w:pStyle w:val="TableContents"/>
              <w:bidi w:val="0"/>
              <w:spacing w:before="0" w:after="0"/>
              <w:jc w:val="right"/>
              <w:rPr>
                <w:color w:val="000000"/>
              </w:rPr>
            </w:pPr>
            <w:r>
              <w:rPr>
                <w:color w:val="000000"/>
              </w:rPr>
              <w:t>138,106</w:t>
            </w:r>
          </w:p>
        </w:tc>
        <w:tc>
          <w:tcPr>
            <w:tcW w:w="97" w:type="dxa"/>
            <w:tcBorders/>
            <w:vAlign w:val="bottom"/>
          </w:tcPr>
          <w:p>
            <w:pPr>
              <w:pStyle w:val="TableContents"/>
              <w:bidi w:val="0"/>
              <w:spacing w:before="0" w:after="283"/>
              <w:jc w:val="left"/>
              <w:rPr/>
            </w:pPr>
            <w:r>
              <w:rPr/>
              <w:t> </w:t>
            </w:r>
          </w:p>
        </w:tc>
      </w:tr>
      <w:tr>
        <w:trPr/>
        <w:tc>
          <w:tcPr>
            <w:tcW w:w="7146" w:type="dxa"/>
            <w:tcBorders/>
            <w:shd w:fill="CCEEFF" w:val="clear"/>
            <w:vAlign w:val="bottom"/>
          </w:tcPr>
          <w:p>
            <w:pPr>
              <w:pStyle w:val="TableContents"/>
              <w:bidi w:val="0"/>
              <w:spacing w:before="0" w:after="0"/>
              <w:ind w:left="324" w:right="0" w:hanging="144"/>
              <w:jc w:val="left"/>
              <w:rPr>
                <w:color w:val="000000"/>
              </w:rPr>
            </w:pPr>
            <w:r>
              <w:rPr>
                <w:color w:val="000000"/>
              </w:rPr>
              <w:t>Accounts and other receivables</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0"/>
              <w:jc w:val="right"/>
              <w:rPr>
                <w:color w:val="000000"/>
              </w:rPr>
            </w:pPr>
            <w:r>
              <w:rPr>
                <w:color w:val="000000"/>
              </w:rPr>
              <w:t>3,547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2" w:type="dxa"/>
            <w:tcBorders/>
            <w:shd w:fill="CCEEFF" w:val="clear"/>
            <w:vAlign w:val="bottom"/>
          </w:tcPr>
          <w:p>
            <w:pPr>
              <w:pStyle w:val="TableContents"/>
              <w:bidi w:val="0"/>
              <w:spacing w:before="0" w:after="283"/>
              <w:jc w:val="left"/>
              <w:rPr/>
            </w:pPr>
            <w:r>
              <w:rPr/>
              <w:t> </w:t>
            </w:r>
          </w:p>
        </w:tc>
        <w:tc>
          <w:tcPr>
            <w:tcW w:w="1300" w:type="dxa"/>
            <w:tcBorders/>
            <w:shd w:fill="CCEEFF" w:val="clear"/>
            <w:vAlign w:val="bottom"/>
          </w:tcPr>
          <w:p>
            <w:pPr>
              <w:pStyle w:val="TableContents"/>
              <w:bidi w:val="0"/>
              <w:spacing w:before="0" w:after="0"/>
              <w:jc w:val="right"/>
              <w:rPr>
                <w:color w:val="000000"/>
              </w:rPr>
            </w:pPr>
            <w:r>
              <w:rPr>
                <w:color w:val="000000"/>
              </w:rPr>
              <w:t>1,307</w:t>
            </w:r>
          </w:p>
        </w:tc>
        <w:tc>
          <w:tcPr>
            <w:tcW w:w="97" w:type="dxa"/>
            <w:tcBorders/>
            <w:shd w:fill="CCEEFF" w:val="clear"/>
            <w:vAlign w:val="bottom"/>
          </w:tcPr>
          <w:p>
            <w:pPr>
              <w:pStyle w:val="TableContents"/>
              <w:bidi w:val="0"/>
              <w:spacing w:before="0" w:after="283"/>
              <w:jc w:val="left"/>
              <w:rPr/>
            </w:pPr>
            <w:r>
              <w:rPr/>
              <w:t> </w:t>
            </w:r>
          </w:p>
        </w:tc>
      </w:tr>
      <w:tr>
        <w:trPr/>
        <w:tc>
          <w:tcPr>
            <w:tcW w:w="7146" w:type="dxa"/>
            <w:tcBorders/>
            <w:vAlign w:val="bottom"/>
          </w:tcPr>
          <w:p>
            <w:pPr>
              <w:pStyle w:val="TableContents"/>
              <w:bidi w:val="0"/>
              <w:spacing w:before="0" w:after="0"/>
              <w:ind w:left="324" w:right="0" w:hanging="144"/>
              <w:jc w:val="left"/>
              <w:rPr>
                <w:color w:val="000000"/>
              </w:rPr>
            </w:pPr>
            <w:r>
              <w:rPr>
                <w:color w:val="000000"/>
              </w:rPr>
              <w:t>Prepaid expenses and other current assets</w:t>
            </w:r>
          </w:p>
        </w:tc>
        <w:tc>
          <w:tcPr>
            <w:tcW w:w="60" w:type="dxa"/>
            <w:tcBorders/>
            <w:vAlign w:val="bottom"/>
          </w:tcPr>
          <w:p>
            <w:pPr>
              <w:pStyle w:val="TableContents"/>
              <w:bidi w:val="0"/>
              <w:spacing w:before="0" w:after="283"/>
              <w:jc w:val="right"/>
              <w:rPr/>
            </w:pPr>
            <w:r>
              <w:rPr/>
              <w:t> </w:t>
            </w:r>
          </w:p>
        </w:tc>
        <w:tc>
          <w:tcPr>
            <w:tcW w:w="149" w:type="dxa"/>
            <w:tcBorders>
              <w:bottom w:val="single" w:sz="12" w:space="0" w:color="000000"/>
            </w:tcBorders>
            <w:tcMar>
              <w:bottom w:w="28" w:type="dxa"/>
            </w:tcMar>
            <w:vAlign w:val="bottom"/>
          </w:tcPr>
          <w:p>
            <w:pPr>
              <w:pStyle w:val="TableContents"/>
              <w:bidi w:val="0"/>
              <w:spacing w:before="0" w:after="283"/>
              <w:jc w:val="left"/>
              <w:rPr/>
            </w:pPr>
            <w:r>
              <w:rPr/>
              <w:t> </w:t>
            </w:r>
          </w:p>
        </w:tc>
        <w:tc>
          <w:tcPr>
            <w:tcW w:w="112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7,695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2" w:type="dxa"/>
            <w:tcBorders>
              <w:bottom w:val="single" w:sz="12" w:space="0" w:color="000000"/>
            </w:tcBorders>
            <w:tcMar>
              <w:bottom w:w="28" w:type="dxa"/>
            </w:tcMar>
            <w:vAlign w:val="bottom"/>
          </w:tcPr>
          <w:p>
            <w:pPr>
              <w:pStyle w:val="TableContents"/>
              <w:bidi w:val="0"/>
              <w:spacing w:before="0" w:after="283"/>
              <w:jc w:val="left"/>
              <w:rPr/>
            </w:pPr>
            <w:r>
              <w:rPr/>
              <w:t> </w:t>
            </w:r>
          </w:p>
        </w:tc>
        <w:tc>
          <w:tcPr>
            <w:tcW w:w="13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8,520</w:t>
            </w:r>
          </w:p>
        </w:tc>
        <w:tc>
          <w:tcPr>
            <w:tcW w:w="97" w:type="dxa"/>
            <w:tcBorders/>
            <w:vAlign w:val="bottom"/>
          </w:tcPr>
          <w:p>
            <w:pPr>
              <w:pStyle w:val="TableContents"/>
              <w:bidi w:val="0"/>
              <w:spacing w:before="0" w:after="283"/>
              <w:jc w:val="left"/>
              <w:rPr/>
            </w:pPr>
            <w:r>
              <w:rPr/>
              <w:t> </w:t>
            </w:r>
          </w:p>
        </w:tc>
      </w:tr>
      <w:tr>
        <w:trPr/>
        <w:tc>
          <w:tcPr>
            <w:tcW w:w="7146" w:type="dxa"/>
            <w:tcBorders/>
            <w:shd w:fill="CCEEFF" w:val="clear"/>
            <w:vAlign w:val="bottom"/>
          </w:tcPr>
          <w:p>
            <w:pPr>
              <w:pStyle w:val="TableContents"/>
              <w:bidi w:val="0"/>
              <w:spacing w:before="0" w:after="0"/>
              <w:ind w:left="504" w:right="0" w:hanging="144"/>
              <w:jc w:val="left"/>
              <w:rPr>
                <w:color w:val="000000"/>
              </w:rPr>
            </w:pPr>
            <w:r>
              <w:rPr>
                <w:color w:val="000000"/>
              </w:rPr>
              <w:t>Total current assets</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0"/>
              <w:jc w:val="right"/>
              <w:rPr>
                <w:color w:val="000000"/>
              </w:rPr>
            </w:pPr>
            <w:r>
              <w:rPr>
                <w:color w:val="000000"/>
              </w:rPr>
              <w:t>113,266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2" w:type="dxa"/>
            <w:tcBorders/>
            <w:shd w:fill="CCEEFF" w:val="clear"/>
            <w:vAlign w:val="bottom"/>
          </w:tcPr>
          <w:p>
            <w:pPr>
              <w:pStyle w:val="TableContents"/>
              <w:bidi w:val="0"/>
              <w:spacing w:before="0" w:after="283"/>
              <w:jc w:val="left"/>
              <w:rPr/>
            </w:pPr>
            <w:r>
              <w:rPr/>
              <w:t> </w:t>
            </w:r>
          </w:p>
        </w:tc>
        <w:tc>
          <w:tcPr>
            <w:tcW w:w="1300" w:type="dxa"/>
            <w:tcBorders/>
            <w:shd w:fill="CCEEFF" w:val="clear"/>
            <w:vAlign w:val="bottom"/>
          </w:tcPr>
          <w:p>
            <w:pPr>
              <w:pStyle w:val="TableContents"/>
              <w:bidi w:val="0"/>
              <w:spacing w:before="0" w:after="0"/>
              <w:jc w:val="right"/>
              <w:rPr>
                <w:color w:val="000000"/>
              </w:rPr>
            </w:pPr>
            <w:r>
              <w:rPr>
                <w:color w:val="000000"/>
              </w:rPr>
              <w:t>226,491</w:t>
            </w:r>
          </w:p>
        </w:tc>
        <w:tc>
          <w:tcPr>
            <w:tcW w:w="97" w:type="dxa"/>
            <w:tcBorders/>
            <w:shd w:fill="CCEEFF" w:val="clear"/>
            <w:vAlign w:val="bottom"/>
          </w:tcPr>
          <w:p>
            <w:pPr>
              <w:pStyle w:val="TableContents"/>
              <w:bidi w:val="0"/>
              <w:spacing w:before="0" w:after="283"/>
              <w:jc w:val="left"/>
              <w:rPr/>
            </w:pPr>
            <w:r>
              <w:rPr/>
              <w:t> </w:t>
            </w:r>
          </w:p>
        </w:tc>
      </w:tr>
      <w:tr>
        <w:trPr/>
        <w:tc>
          <w:tcPr>
            <w:tcW w:w="7146" w:type="dxa"/>
            <w:tcBorders/>
            <w:vAlign w:val="bottom"/>
          </w:tcPr>
          <w:p>
            <w:pPr>
              <w:pStyle w:val="TableContents"/>
              <w:bidi w:val="0"/>
              <w:spacing w:before="0" w:after="0"/>
              <w:ind w:left="324" w:right="0" w:hanging="144"/>
              <w:jc w:val="left"/>
              <w:rPr>
                <w:color w:val="000000"/>
              </w:rPr>
            </w:pPr>
            <w:r>
              <w:rPr>
                <w:color w:val="000000"/>
              </w:rPr>
              <w:t>Property and equipment, net</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0"/>
              <w:jc w:val="right"/>
              <w:rPr>
                <w:color w:val="000000"/>
              </w:rPr>
            </w:pPr>
            <w:r>
              <w:rPr>
                <w:color w:val="000000"/>
              </w:rPr>
              <w:t>156,961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2" w:type="dxa"/>
            <w:tcBorders/>
            <w:vAlign w:val="bottom"/>
          </w:tcPr>
          <w:p>
            <w:pPr>
              <w:pStyle w:val="TableContents"/>
              <w:bidi w:val="0"/>
              <w:spacing w:before="0" w:after="283"/>
              <w:jc w:val="left"/>
              <w:rPr/>
            </w:pPr>
            <w:r>
              <w:rPr/>
              <w:t> </w:t>
            </w:r>
          </w:p>
        </w:tc>
        <w:tc>
          <w:tcPr>
            <w:tcW w:w="1300" w:type="dxa"/>
            <w:tcBorders/>
            <w:vAlign w:val="bottom"/>
          </w:tcPr>
          <w:p>
            <w:pPr>
              <w:pStyle w:val="TableContents"/>
              <w:bidi w:val="0"/>
              <w:spacing w:before="0" w:after="0"/>
              <w:jc w:val="right"/>
              <w:rPr>
                <w:color w:val="000000"/>
              </w:rPr>
            </w:pPr>
            <w:r>
              <w:rPr>
                <w:color w:val="000000"/>
              </w:rPr>
              <w:t>155,776</w:t>
            </w:r>
          </w:p>
        </w:tc>
        <w:tc>
          <w:tcPr>
            <w:tcW w:w="97" w:type="dxa"/>
            <w:tcBorders/>
            <w:vAlign w:val="bottom"/>
          </w:tcPr>
          <w:p>
            <w:pPr>
              <w:pStyle w:val="TableContents"/>
              <w:bidi w:val="0"/>
              <w:spacing w:before="0" w:after="283"/>
              <w:jc w:val="left"/>
              <w:rPr/>
            </w:pPr>
            <w:r>
              <w:rPr/>
              <w:t> </w:t>
            </w:r>
          </w:p>
        </w:tc>
      </w:tr>
      <w:tr>
        <w:trPr/>
        <w:tc>
          <w:tcPr>
            <w:tcW w:w="7146" w:type="dxa"/>
            <w:tcBorders/>
            <w:shd w:fill="CCEEFF" w:val="clear"/>
            <w:vAlign w:val="bottom"/>
          </w:tcPr>
          <w:p>
            <w:pPr>
              <w:pStyle w:val="TableContents"/>
              <w:bidi w:val="0"/>
              <w:spacing w:before="0" w:after="0"/>
              <w:ind w:left="324" w:right="0" w:hanging="144"/>
              <w:jc w:val="left"/>
              <w:rPr>
                <w:color w:val="000000"/>
              </w:rPr>
            </w:pPr>
            <w:r>
              <w:rPr>
                <w:color w:val="000000"/>
              </w:rPr>
              <w:t>Operating lease right-of-use assets, net</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0"/>
              <w:jc w:val="right"/>
              <w:rPr>
                <w:color w:val="000000"/>
              </w:rPr>
            </w:pPr>
            <w:r>
              <w:rPr>
                <w:color w:val="000000"/>
              </w:rPr>
              <w:t>95,806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2" w:type="dxa"/>
            <w:tcBorders/>
            <w:shd w:fill="CCEEFF" w:val="clear"/>
            <w:vAlign w:val="bottom"/>
          </w:tcPr>
          <w:p>
            <w:pPr>
              <w:pStyle w:val="TableContents"/>
              <w:bidi w:val="0"/>
              <w:spacing w:before="0" w:after="283"/>
              <w:jc w:val="left"/>
              <w:rPr/>
            </w:pPr>
            <w:r>
              <w:rPr/>
              <w:t> </w:t>
            </w:r>
          </w:p>
        </w:tc>
        <w:tc>
          <w:tcPr>
            <w:tcW w:w="1300" w:type="dxa"/>
            <w:tcBorders/>
            <w:shd w:fill="CCEEFF" w:val="clear"/>
            <w:vAlign w:val="bottom"/>
          </w:tcPr>
          <w:p>
            <w:pPr>
              <w:pStyle w:val="TableContents"/>
              <w:bidi w:val="0"/>
              <w:spacing w:before="0" w:after="0"/>
              <w:jc w:val="right"/>
              <w:rPr>
                <w:color w:val="000000"/>
              </w:rPr>
            </w:pPr>
            <w:r>
              <w:rPr>
                <w:color w:val="000000"/>
              </w:rPr>
              <w:t>97,055</w:t>
            </w:r>
          </w:p>
        </w:tc>
        <w:tc>
          <w:tcPr>
            <w:tcW w:w="97" w:type="dxa"/>
            <w:tcBorders/>
            <w:shd w:fill="CCEEFF" w:val="clear"/>
            <w:vAlign w:val="bottom"/>
          </w:tcPr>
          <w:p>
            <w:pPr>
              <w:pStyle w:val="TableContents"/>
              <w:bidi w:val="0"/>
              <w:spacing w:before="0" w:after="283"/>
              <w:jc w:val="left"/>
              <w:rPr/>
            </w:pPr>
            <w:r>
              <w:rPr/>
              <w:t> </w:t>
            </w:r>
          </w:p>
        </w:tc>
      </w:tr>
      <w:tr>
        <w:trPr/>
        <w:tc>
          <w:tcPr>
            <w:tcW w:w="7146" w:type="dxa"/>
            <w:tcBorders/>
            <w:vAlign w:val="bottom"/>
          </w:tcPr>
          <w:p>
            <w:pPr>
              <w:pStyle w:val="TableContents"/>
              <w:bidi w:val="0"/>
              <w:spacing w:before="0" w:after="0"/>
              <w:ind w:left="324" w:right="0" w:hanging="144"/>
              <w:jc w:val="left"/>
              <w:rPr>
                <w:color w:val="000000"/>
              </w:rPr>
            </w:pPr>
            <w:r>
              <w:rPr>
                <w:color w:val="000000"/>
              </w:rPr>
              <w:t>Intangible assets, net</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0"/>
              <w:jc w:val="right"/>
              <w:rPr>
                <w:color w:val="000000"/>
              </w:rPr>
            </w:pPr>
            <w:r>
              <w:rPr>
                <w:color w:val="000000"/>
              </w:rPr>
              <w:t>2,758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2" w:type="dxa"/>
            <w:tcBorders/>
            <w:vAlign w:val="bottom"/>
          </w:tcPr>
          <w:p>
            <w:pPr>
              <w:pStyle w:val="TableContents"/>
              <w:bidi w:val="0"/>
              <w:spacing w:before="0" w:after="283"/>
              <w:jc w:val="left"/>
              <w:rPr/>
            </w:pPr>
            <w:r>
              <w:rPr/>
              <w:t> </w:t>
            </w:r>
          </w:p>
        </w:tc>
        <w:tc>
          <w:tcPr>
            <w:tcW w:w="1300" w:type="dxa"/>
            <w:tcBorders/>
            <w:vAlign w:val="bottom"/>
          </w:tcPr>
          <w:p>
            <w:pPr>
              <w:pStyle w:val="TableContents"/>
              <w:bidi w:val="0"/>
              <w:spacing w:before="0" w:after="0"/>
              <w:jc w:val="right"/>
              <w:rPr>
                <w:color w:val="000000"/>
              </w:rPr>
            </w:pPr>
            <w:r>
              <w:rPr>
                <w:color w:val="000000"/>
              </w:rPr>
              <w:t>3,300</w:t>
            </w:r>
          </w:p>
        </w:tc>
        <w:tc>
          <w:tcPr>
            <w:tcW w:w="97" w:type="dxa"/>
            <w:tcBorders/>
            <w:vAlign w:val="bottom"/>
          </w:tcPr>
          <w:p>
            <w:pPr>
              <w:pStyle w:val="TableContents"/>
              <w:bidi w:val="0"/>
              <w:spacing w:before="0" w:after="283"/>
              <w:jc w:val="left"/>
              <w:rPr/>
            </w:pPr>
            <w:r>
              <w:rPr/>
              <w:t> </w:t>
            </w:r>
          </w:p>
        </w:tc>
      </w:tr>
      <w:tr>
        <w:trPr/>
        <w:tc>
          <w:tcPr>
            <w:tcW w:w="7146" w:type="dxa"/>
            <w:tcBorders/>
            <w:shd w:fill="CCEEFF" w:val="clear"/>
            <w:vAlign w:val="bottom"/>
          </w:tcPr>
          <w:p>
            <w:pPr>
              <w:pStyle w:val="TableContents"/>
              <w:bidi w:val="0"/>
              <w:spacing w:before="0" w:after="0"/>
              <w:ind w:left="324" w:right="0" w:hanging="144"/>
              <w:jc w:val="left"/>
              <w:rPr>
                <w:color w:val="000000"/>
              </w:rPr>
            </w:pPr>
            <w:r>
              <w:rPr>
                <w:color w:val="000000"/>
              </w:rPr>
              <w:t>Goodwill</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0"/>
              <w:jc w:val="right"/>
              <w:rPr>
                <w:color w:val="000000"/>
              </w:rPr>
            </w:pPr>
            <w:r>
              <w:rPr>
                <w:color w:val="000000"/>
              </w:rPr>
              <w:t>10,513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2" w:type="dxa"/>
            <w:tcBorders/>
            <w:shd w:fill="CCEEFF" w:val="clear"/>
            <w:vAlign w:val="bottom"/>
          </w:tcPr>
          <w:p>
            <w:pPr>
              <w:pStyle w:val="TableContents"/>
              <w:bidi w:val="0"/>
              <w:spacing w:before="0" w:after="283"/>
              <w:jc w:val="left"/>
              <w:rPr/>
            </w:pPr>
            <w:r>
              <w:rPr/>
              <w:t> </w:t>
            </w:r>
          </w:p>
        </w:tc>
        <w:tc>
          <w:tcPr>
            <w:tcW w:w="1300" w:type="dxa"/>
            <w:tcBorders/>
            <w:shd w:fill="CCEEFF" w:val="clear"/>
            <w:vAlign w:val="bottom"/>
          </w:tcPr>
          <w:p>
            <w:pPr>
              <w:pStyle w:val="TableContents"/>
              <w:bidi w:val="0"/>
              <w:spacing w:before="0" w:after="0"/>
              <w:jc w:val="right"/>
              <w:rPr>
                <w:color w:val="000000"/>
              </w:rPr>
            </w:pPr>
            <w:r>
              <w:rPr>
                <w:color w:val="000000"/>
              </w:rPr>
              <w:t>10,513</w:t>
            </w:r>
          </w:p>
        </w:tc>
        <w:tc>
          <w:tcPr>
            <w:tcW w:w="97" w:type="dxa"/>
            <w:tcBorders/>
            <w:shd w:fill="CCEEFF" w:val="clear"/>
            <w:vAlign w:val="bottom"/>
          </w:tcPr>
          <w:p>
            <w:pPr>
              <w:pStyle w:val="TableContents"/>
              <w:bidi w:val="0"/>
              <w:spacing w:before="0" w:after="283"/>
              <w:jc w:val="left"/>
              <w:rPr/>
            </w:pPr>
            <w:r>
              <w:rPr/>
              <w:t> </w:t>
            </w:r>
          </w:p>
        </w:tc>
      </w:tr>
      <w:tr>
        <w:trPr/>
        <w:tc>
          <w:tcPr>
            <w:tcW w:w="7146" w:type="dxa"/>
            <w:tcBorders/>
            <w:vAlign w:val="bottom"/>
          </w:tcPr>
          <w:p>
            <w:pPr>
              <w:pStyle w:val="TableContents"/>
              <w:bidi w:val="0"/>
              <w:spacing w:before="0" w:after="0"/>
              <w:ind w:left="324" w:right="0" w:hanging="144"/>
              <w:jc w:val="left"/>
              <w:rPr>
                <w:color w:val="000000"/>
              </w:rPr>
            </w:pPr>
            <w:r>
              <w:rPr>
                <w:color w:val="000000"/>
              </w:rPr>
              <w:t>Other long-term assets</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0"/>
              <w:jc w:val="right"/>
              <w:rPr>
                <w:color w:val="000000"/>
              </w:rPr>
            </w:pPr>
            <w:r>
              <w:rPr>
                <w:color w:val="000000"/>
              </w:rPr>
              <w:t>9,635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2" w:type="dxa"/>
            <w:tcBorders/>
            <w:vAlign w:val="bottom"/>
          </w:tcPr>
          <w:p>
            <w:pPr>
              <w:pStyle w:val="TableContents"/>
              <w:bidi w:val="0"/>
              <w:spacing w:before="0" w:after="283"/>
              <w:jc w:val="left"/>
              <w:rPr/>
            </w:pPr>
            <w:r>
              <w:rPr/>
              <w:t> </w:t>
            </w:r>
          </w:p>
        </w:tc>
        <w:tc>
          <w:tcPr>
            <w:tcW w:w="1300" w:type="dxa"/>
            <w:tcBorders/>
            <w:vAlign w:val="bottom"/>
          </w:tcPr>
          <w:p>
            <w:pPr>
              <w:pStyle w:val="TableContents"/>
              <w:bidi w:val="0"/>
              <w:spacing w:before="0" w:after="0"/>
              <w:jc w:val="right"/>
              <w:rPr>
                <w:color w:val="000000"/>
              </w:rPr>
            </w:pPr>
            <w:r>
              <w:rPr>
                <w:color w:val="000000"/>
              </w:rPr>
              <w:t>4,800</w:t>
            </w:r>
          </w:p>
        </w:tc>
        <w:tc>
          <w:tcPr>
            <w:tcW w:w="97" w:type="dxa"/>
            <w:tcBorders/>
            <w:vAlign w:val="bottom"/>
          </w:tcPr>
          <w:p>
            <w:pPr>
              <w:pStyle w:val="TableContents"/>
              <w:bidi w:val="0"/>
              <w:spacing w:before="0" w:after="283"/>
              <w:jc w:val="left"/>
              <w:rPr/>
            </w:pPr>
            <w:r>
              <w:rPr/>
              <w:t> </w:t>
            </w:r>
          </w:p>
        </w:tc>
      </w:tr>
      <w:tr>
        <w:trPr/>
        <w:tc>
          <w:tcPr>
            <w:tcW w:w="7146" w:type="dxa"/>
            <w:tcBorders/>
            <w:shd w:fill="CCEEFF" w:val="clear"/>
            <w:vAlign w:val="bottom"/>
          </w:tcPr>
          <w:p>
            <w:pPr>
              <w:pStyle w:val="TableContents"/>
              <w:bidi w:val="0"/>
              <w:spacing w:before="0" w:after="0"/>
              <w:ind w:left="324" w:right="0" w:hanging="144"/>
              <w:jc w:val="left"/>
              <w:rPr>
                <w:color w:val="000000"/>
              </w:rPr>
            </w:pPr>
            <w:r>
              <w:rPr>
                <w:color w:val="000000"/>
              </w:rPr>
              <w:t>Restricted cash</w:t>
            </w:r>
          </w:p>
        </w:tc>
        <w:tc>
          <w:tcPr>
            <w:tcW w:w="60" w:type="dxa"/>
            <w:tcBorders/>
            <w:shd w:fill="CCEEFF" w:val="clear"/>
            <w:vAlign w:val="bottom"/>
          </w:tcPr>
          <w:p>
            <w:pPr>
              <w:pStyle w:val="TableContents"/>
              <w:bidi w:val="0"/>
              <w:spacing w:before="0" w:after="283"/>
              <w:jc w:val="right"/>
              <w:rPr/>
            </w:pPr>
            <w:r>
              <w:rPr/>
              <w:t> </w:t>
            </w:r>
          </w:p>
        </w:tc>
        <w:tc>
          <w:tcPr>
            <w:tcW w:w="14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2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9,560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9,118</w:t>
            </w:r>
          </w:p>
        </w:tc>
        <w:tc>
          <w:tcPr>
            <w:tcW w:w="97" w:type="dxa"/>
            <w:tcBorders/>
            <w:shd w:fill="CCEEFF" w:val="clear"/>
            <w:vAlign w:val="bottom"/>
          </w:tcPr>
          <w:p>
            <w:pPr>
              <w:pStyle w:val="TableContents"/>
              <w:bidi w:val="0"/>
              <w:spacing w:before="0" w:after="283"/>
              <w:jc w:val="left"/>
              <w:rPr/>
            </w:pPr>
            <w:r>
              <w:rPr/>
              <w:t> </w:t>
            </w:r>
          </w:p>
        </w:tc>
      </w:tr>
      <w:tr>
        <w:trPr/>
        <w:tc>
          <w:tcPr>
            <w:tcW w:w="7146" w:type="dxa"/>
            <w:tcBorders/>
            <w:vAlign w:val="bottom"/>
          </w:tcPr>
          <w:p>
            <w:pPr>
              <w:pStyle w:val="TableContents"/>
              <w:bidi w:val="0"/>
              <w:spacing w:before="0" w:after="0"/>
              <w:ind w:left="144" w:right="0" w:hanging="144"/>
              <w:jc w:val="left"/>
              <w:rPr>
                <w:b/>
                <w:color w:val="000000"/>
              </w:rPr>
            </w:pPr>
            <w:r>
              <w:rPr>
                <w:b/>
                <w:color w:val="000000"/>
              </w:rPr>
              <w:t>Total assets</w:t>
            </w:r>
          </w:p>
        </w:tc>
        <w:tc>
          <w:tcPr>
            <w:tcW w:w="60" w:type="dxa"/>
            <w:tcBorders/>
            <w:vAlign w:val="bottom"/>
          </w:tcPr>
          <w:p>
            <w:pPr>
              <w:pStyle w:val="TableContents"/>
              <w:bidi w:val="0"/>
              <w:spacing w:before="0" w:after="283"/>
              <w:jc w:val="right"/>
              <w:rPr/>
            </w:pPr>
            <w:r>
              <w:rPr/>
              <w:t> </w:t>
            </w:r>
          </w:p>
        </w:tc>
        <w:tc>
          <w:tcPr>
            <w:tcW w:w="149"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126"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398,499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2"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30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507,053</w:t>
            </w:r>
          </w:p>
        </w:tc>
        <w:tc>
          <w:tcPr>
            <w:tcW w:w="97" w:type="dxa"/>
            <w:tcBorders/>
            <w:vAlign w:val="bottom"/>
          </w:tcPr>
          <w:p>
            <w:pPr>
              <w:pStyle w:val="TableContents"/>
              <w:bidi w:val="0"/>
              <w:spacing w:before="0" w:after="283"/>
              <w:jc w:val="left"/>
              <w:rPr/>
            </w:pPr>
            <w:r>
              <w:rPr/>
              <w:t> </w:t>
            </w:r>
          </w:p>
        </w:tc>
      </w:tr>
      <w:tr>
        <w:trPr/>
        <w:tc>
          <w:tcPr>
            <w:tcW w:w="7146" w:type="dxa"/>
            <w:tcBorders/>
            <w:shd w:fill="CCEEFF" w:val="clear"/>
            <w:vAlign w:val="bottom"/>
          </w:tcPr>
          <w:p>
            <w:pPr>
              <w:pStyle w:val="TableContents"/>
              <w:bidi w:val="0"/>
              <w:spacing w:before="0" w:after="0"/>
              <w:ind w:left="144" w:right="0" w:hanging="144"/>
              <w:jc w:val="left"/>
              <w:rPr>
                <w:b/>
                <w:color w:val="000000"/>
              </w:rPr>
            </w:pPr>
            <w:r>
              <w:rPr>
                <w:b/>
                <w:color w:val="000000"/>
              </w:rPr>
              <w:t>Liabilities, Convertible Preferred Stock, and Stockholders’ Deficit</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2" w:type="dxa"/>
            <w:tcBorders/>
            <w:shd w:fill="CCEEFF" w:val="clear"/>
            <w:vAlign w:val="bottom"/>
          </w:tcPr>
          <w:p>
            <w:pPr>
              <w:pStyle w:val="TableContents"/>
              <w:bidi w:val="0"/>
              <w:spacing w:before="0" w:after="283"/>
              <w:jc w:val="left"/>
              <w:rPr/>
            </w:pPr>
            <w:r>
              <w:rPr/>
              <w:t> </w:t>
            </w:r>
          </w:p>
        </w:tc>
        <w:tc>
          <w:tcPr>
            <w:tcW w:w="1300"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r>
      <w:tr>
        <w:trPr/>
        <w:tc>
          <w:tcPr>
            <w:tcW w:w="7146" w:type="dxa"/>
            <w:tcBorders/>
            <w:vAlign w:val="bottom"/>
          </w:tcPr>
          <w:p>
            <w:pPr>
              <w:pStyle w:val="TableContents"/>
              <w:bidi w:val="0"/>
              <w:spacing w:before="0" w:after="0"/>
              <w:ind w:left="144" w:right="0" w:hanging="144"/>
              <w:jc w:val="left"/>
              <w:rPr>
                <w:color w:val="000000"/>
              </w:rPr>
            </w:pPr>
            <w:r>
              <w:rPr>
                <w:color w:val="000000"/>
              </w:rPr>
              <w:t>Current liabilities:</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2" w:type="dxa"/>
            <w:tcBorders/>
            <w:vAlign w:val="bottom"/>
          </w:tcPr>
          <w:p>
            <w:pPr>
              <w:pStyle w:val="TableContents"/>
              <w:bidi w:val="0"/>
              <w:spacing w:before="0" w:after="283"/>
              <w:jc w:val="left"/>
              <w:rPr/>
            </w:pPr>
            <w:r>
              <w:rPr/>
              <w:t> </w:t>
            </w:r>
          </w:p>
        </w:tc>
        <w:tc>
          <w:tcPr>
            <w:tcW w:w="1300"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r>
      <w:tr>
        <w:trPr/>
        <w:tc>
          <w:tcPr>
            <w:tcW w:w="7146" w:type="dxa"/>
            <w:tcBorders/>
            <w:shd w:fill="CCEEFF" w:val="clear"/>
            <w:vAlign w:val="bottom"/>
          </w:tcPr>
          <w:p>
            <w:pPr>
              <w:pStyle w:val="TableContents"/>
              <w:bidi w:val="0"/>
              <w:spacing w:before="0" w:after="0"/>
              <w:ind w:left="324" w:right="0" w:hanging="144"/>
              <w:jc w:val="left"/>
              <w:rPr>
                <w:color w:val="000000"/>
              </w:rPr>
            </w:pPr>
            <w:r>
              <w:rPr>
                <w:color w:val="000000"/>
              </w:rPr>
              <w:t>Accounts payable</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0"/>
              <w:jc w:val="left"/>
              <w:rPr>
                <w:color w:val="000000"/>
              </w:rPr>
            </w:pPr>
            <w:r>
              <w:rPr>
                <w:color w:val="000000"/>
              </w:rPr>
              <w:t>$</w:t>
            </w:r>
          </w:p>
        </w:tc>
        <w:tc>
          <w:tcPr>
            <w:tcW w:w="1126" w:type="dxa"/>
            <w:tcBorders/>
            <w:shd w:fill="CCEEFF" w:val="clear"/>
            <w:vAlign w:val="bottom"/>
          </w:tcPr>
          <w:p>
            <w:pPr>
              <w:pStyle w:val="TableContents"/>
              <w:bidi w:val="0"/>
              <w:spacing w:before="0" w:after="0"/>
              <w:jc w:val="right"/>
              <w:rPr>
                <w:color w:val="000000"/>
              </w:rPr>
            </w:pPr>
            <w:r>
              <w:rPr>
                <w:color w:val="000000"/>
              </w:rPr>
              <w:t>12,852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2" w:type="dxa"/>
            <w:tcBorders/>
            <w:shd w:fill="CCEEFF" w:val="clear"/>
            <w:vAlign w:val="bottom"/>
          </w:tcPr>
          <w:p>
            <w:pPr>
              <w:pStyle w:val="TableContents"/>
              <w:bidi w:val="0"/>
              <w:spacing w:before="0" w:after="0"/>
              <w:jc w:val="left"/>
              <w:rPr>
                <w:color w:val="000000"/>
              </w:rPr>
            </w:pPr>
            <w:r>
              <w:rPr>
                <w:color w:val="000000"/>
              </w:rPr>
              <w:t>$</w:t>
            </w:r>
          </w:p>
        </w:tc>
        <w:tc>
          <w:tcPr>
            <w:tcW w:w="1300" w:type="dxa"/>
            <w:tcBorders/>
            <w:shd w:fill="CCEEFF" w:val="clear"/>
            <w:vAlign w:val="bottom"/>
          </w:tcPr>
          <w:p>
            <w:pPr>
              <w:pStyle w:val="TableContents"/>
              <w:bidi w:val="0"/>
              <w:spacing w:before="0" w:after="0"/>
              <w:jc w:val="right"/>
              <w:rPr>
                <w:color w:val="000000"/>
              </w:rPr>
            </w:pPr>
            <w:r>
              <w:rPr>
                <w:color w:val="000000"/>
              </w:rPr>
              <w:t>6,084</w:t>
            </w:r>
          </w:p>
        </w:tc>
        <w:tc>
          <w:tcPr>
            <w:tcW w:w="97" w:type="dxa"/>
            <w:tcBorders/>
            <w:shd w:fill="CCEEFF" w:val="clear"/>
            <w:vAlign w:val="bottom"/>
          </w:tcPr>
          <w:p>
            <w:pPr>
              <w:pStyle w:val="TableContents"/>
              <w:bidi w:val="0"/>
              <w:spacing w:before="0" w:after="283"/>
              <w:jc w:val="left"/>
              <w:rPr/>
            </w:pPr>
            <w:r>
              <w:rPr/>
              <w:t> </w:t>
            </w:r>
          </w:p>
        </w:tc>
      </w:tr>
      <w:tr>
        <w:trPr/>
        <w:tc>
          <w:tcPr>
            <w:tcW w:w="7146" w:type="dxa"/>
            <w:tcBorders/>
            <w:vAlign w:val="bottom"/>
          </w:tcPr>
          <w:p>
            <w:pPr>
              <w:pStyle w:val="TableContents"/>
              <w:bidi w:val="0"/>
              <w:spacing w:before="0" w:after="0"/>
              <w:ind w:left="324" w:right="0" w:hanging="144"/>
              <w:jc w:val="left"/>
              <w:rPr>
                <w:color w:val="000000"/>
              </w:rPr>
            </w:pPr>
            <w:r>
              <w:rPr>
                <w:color w:val="000000"/>
              </w:rPr>
              <w:t>Accrued compensation and other related benefits</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0"/>
              <w:jc w:val="right"/>
              <w:rPr>
                <w:color w:val="000000"/>
              </w:rPr>
            </w:pPr>
            <w:r>
              <w:rPr>
                <w:color w:val="000000"/>
              </w:rPr>
              <w:t>8,991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2" w:type="dxa"/>
            <w:tcBorders/>
            <w:vAlign w:val="bottom"/>
          </w:tcPr>
          <w:p>
            <w:pPr>
              <w:pStyle w:val="TableContents"/>
              <w:bidi w:val="0"/>
              <w:spacing w:before="0" w:after="283"/>
              <w:jc w:val="left"/>
              <w:rPr/>
            </w:pPr>
            <w:r>
              <w:rPr/>
              <w:t> </w:t>
            </w:r>
          </w:p>
        </w:tc>
        <w:tc>
          <w:tcPr>
            <w:tcW w:w="1300" w:type="dxa"/>
            <w:tcBorders/>
            <w:vAlign w:val="bottom"/>
          </w:tcPr>
          <w:p>
            <w:pPr>
              <w:pStyle w:val="TableContents"/>
              <w:bidi w:val="0"/>
              <w:spacing w:before="0" w:after="0"/>
              <w:jc w:val="right"/>
              <w:rPr>
                <w:color w:val="000000"/>
              </w:rPr>
            </w:pPr>
            <w:r>
              <w:rPr>
                <w:color w:val="000000"/>
              </w:rPr>
              <w:t>13,424</w:t>
            </w:r>
          </w:p>
        </w:tc>
        <w:tc>
          <w:tcPr>
            <w:tcW w:w="97" w:type="dxa"/>
            <w:tcBorders/>
            <w:vAlign w:val="bottom"/>
          </w:tcPr>
          <w:p>
            <w:pPr>
              <w:pStyle w:val="TableContents"/>
              <w:bidi w:val="0"/>
              <w:spacing w:before="0" w:after="283"/>
              <w:jc w:val="left"/>
              <w:rPr/>
            </w:pPr>
            <w:r>
              <w:rPr/>
              <w:t> </w:t>
            </w:r>
          </w:p>
        </w:tc>
      </w:tr>
      <w:tr>
        <w:trPr/>
        <w:tc>
          <w:tcPr>
            <w:tcW w:w="7146" w:type="dxa"/>
            <w:tcBorders/>
            <w:shd w:fill="CCEEFF" w:val="clear"/>
            <w:vAlign w:val="bottom"/>
          </w:tcPr>
          <w:p>
            <w:pPr>
              <w:pStyle w:val="TableContents"/>
              <w:bidi w:val="0"/>
              <w:spacing w:before="0" w:after="0"/>
              <w:ind w:left="324" w:right="0" w:hanging="144"/>
              <w:jc w:val="left"/>
              <w:rPr>
                <w:color w:val="000000"/>
              </w:rPr>
            </w:pPr>
            <w:r>
              <w:rPr>
                <w:color w:val="000000"/>
              </w:rPr>
              <w:t>Accrued expenses and other current liabilities</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0"/>
              <w:jc w:val="right"/>
              <w:rPr>
                <w:color w:val="000000"/>
              </w:rPr>
            </w:pPr>
            <w:r>
              <w:rPr>
                <w:color w:val="000000"/>
              </w:rPr>
              <w:t>3,390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2" w:type="dxa"/>
            <w:tcBorders/>
            <w:shd w:fill="CCEEFF" w:val="clear"/>
            <w:vAlign w:val="bottom"/>
          </w:tcPr>
          <w:p>
            <w:pPr>
              <w:pStyle w:val="TableContents"/>
              <w:bidi w:val="0"/>
              <w:spacing w:before="0" w:after="283"/>
              <w:jc w:val="left"/>
              <w:rPr/>
            </w:pPr>
            <w:r>
              <w:rPr/>
              <w:t> </w:t>
            </w:r>
          </w:p>
        </w:tc>
        <w:tc>
          <w:tcPr>
            <w:tcW w:w="1300" w:type="dxa"/>
            <w:tcBorders/>
            <w:shd w:fill="CCEEFF" w:val="clear"/>
            <w:vAlign w:val="bottom"/>
          </w:tcPr>
          <w:p>
            <w:pPr>
              <w:pStyle w:val="TableContents"/>
              <w:bidi w:val="0"/>
              <w:spacing w:before="0" w:after="0"/>
              <w:jc w:val="right"/>
              <w:rPr>
                <w:color w:val="000000"/>
              </w:rPr>
            </w:pPr>
            <w:r>
              <w:rPr>
                <w:color w:val="000000"/>
              </w:rPr>
              <w:t>3,783</w:t>
            </w:r>
          </w:p>
        </w:tc>
        <w:tc>
          <w:tcPr>
            <w:tcW w:w="97" w:type="dxa"/>
            <w:tcBorders/>
            <w:shd w:fill="CCEEFF" w:val="clear"/>
            <w:vAlign w:val="bottom"/>
          </w:tcPr>
          <w:p>
            <w:pPr>
              <w:pStyle w:val="TableContents"/>
              <w:bidi w:val="0"/>
              <w:spacing w:before="0" w:after="283"/>
              <w:jc w:val="left"/>
              <w:rPr/>
            </w:pPr>
            <w:r>
              <w:rPr/>
              <w:t> </w:t>
            </w:r>
          </w:p>
        </w:tc>
      </w:tr>
      <w:tr>
        <w:trPr/>
        <w:tc>
          <w:tcPr>
            <w:tcW w:w="7146" w:type="dxa"/>
            <w:tcBorders/>
            <w:vAlign w:val="bottom"/>
          </w:tcPr>
          <w:p>
            <w:pPr>
              <w:pStyle w:val="TableContents"/>
              <w:bidi w:val="0"/>
              <w:spacing w:before="0" w:after="0"/>
              <w:ind w:left="324" w:right="0" w:hanging="144"/>
              <w:jc w:val="left"/>
              <w:rPr>
                <w:color w:val="000000"/>
              </w:rPr>
            </w:pPr>
            <w:r>
              <w:rPr>
                <w:color w:val="000000"/>
              </w:rPr>
              <w:t>Deferred revenue, current</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0"/>
              <w:jc w:val="right"/>
              <w:rPr>
                <w:color w:val="000000"/>
              </w:rPr>
            </w:pPr>
            <w:r>
              <w:rPr>
                <w:color w:val="000000"/>
              </w:rPr>
              <w:t>71,106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2" w:type="dxa"/>
            <w:tcBorders/>
            <w:vAlign w:val="bottom"/>
          </w:tcPr>
          <w:p>
            <w:pPr>
              <w:pStyle w:val="TableContents"/>
              <w:bidi w:val="0"/>
              <w:spacing w:before="0" w:after="283"/>
              <w:jc w:val="left"/>
              <w:rPr/>
            </w:pPr>
            <w:r>
              <w:rPr/>
              <w:t> </w:t>
            </w:r>
          </w:p>
        </w:tc>
        <w:tc>
          <w:tcPr>
            <w:tcW w:w="1300" w:type="dxa"/>
            <w:tcBorders/>
            <w:vAlign w:val="bottom"/>
          </w:tcPr>
          <w:p>
            <w:pPr>
              <w:pStyle w:val="TableContents"/>
              <w:bidi w:val="0"/>
              <w:spacing w:before="0" w:after="0"/>
              <w:jc w:val="right"/>
              <w:rPr>
                <w:color w:val="000000"/>
              </w:rPr>
            </w:pPr>
            <w:r>
              <w:rPr>
                <w:color w:val="000000"/>
              </w:rPr>
              <w:t>7,123</w:t>
            </w:r>
          </w:p>
        </w:tc>
        <w:tc>
          <w:tcPr>
            <w:tcW w:w="97" w:type="dxa"/>
            <w:tcBorders/>
            <w:vAlign w:val="bottom"/>
          </w:tcPr>
          <w:p>
            <w:pPr>
              <w:pStyle w:val="TableContents"/>
              <w:bidi w:val="0"/>
              <w:spacing w:before="0" w:after="283"/>
              <w:jc w:val="left"/>
              <w:rPr/>
            </w:pPr>
            <w:r>
              <w:rPr/>
              <w:t> </w:t>
            </w:r>
          </w:p>
        </w:tc>
      </w:tr>
      <w:tr>
        <w:trPr/>
        <w:tc>
          <w:tcPr>
            <w:tcW w:w="7146" w:type="dxa"/>
            <w:tcBorders/>
            <w:shd w:fill="CCEEFF" w:val="clear"/>
            <w:vAlign w:val="bottom"/>
          </w:tcPr>
          <w:p>
            <w:pPr>
              <w:pStyle w:val="TableContents"/>
              <w:bidi w:val="0"/>
              <w:spacing w:before="0" w:after="0"/>
              <w:ind w:left="324" w:right="0" w:hanging="144"/>
              <w:jc w:val="left"/>
              <w:rPr>
                <w:color w:val="000000"/>
              </w:rPr>
            </w:pPr>
            <w:r>
              <w:rPr>
                <w:color w:val="000000"/>
              </w:rPr>
              <w:t>Current portion of lease liabilities</w:t>
            </w:r>
          </w:p>
        </w:tc>
        <w:tc>
          <w:tcPr>
            <w:tcW w:w="60" w:type="dxa"/>
            <w:tcBorders/>
            <w:shd w:fill="CCEEFF" w:val="clear"/>
            <w:vAlign w:val="bottom"/>
          </w:tcPr>
          <w:p>
            <w:pPr>
              <w:pStyle w:val="TableContents"/>
              <w:bidi w:val="0"/>
              <w:spacing w:before="0" w:after="283"/>
              <w:jc w:val="right"/>
              <w:rPr/>
            </w:pPr>
            <w:r>
              <w:rPr/>
              <w:t> </w:t>
            </w:r>
          </w:p>
        </w:tc>
        <w:tc>
          <w:tcPr>
            <w:tcW w:w="14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2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11,194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10,114</w:t>
            </w:r>
          </w:p>
        </w:tc>
        <w:tc>
          <w:tcPr>
            <w:tcW w:w="97" w:type="dxa"/>
            <w:tcBorders/>
            <w:shd w:fill="CCEEFF" w:val="clear"/>
            <w:vAlign w:val="bottom"/>
          </w:tcPr>
          <w:p>
            <w:pPr>
              <w:pStyle w:val="TableContents"/>
              <w:bidi w:val="0"/>
              <w:spacing w:before="0" w:after="283"/>
              <w:jc w:val="left"/>
              <w:rPr/>
            </w:pPr>
            <w:r>
              <w:rPr/>
              <w:t> </w:t>
            </w:r>
          </w:p>
        </w:tc>
      </w:tr>
      <w:tr>
        <w:trPr/>
        <w:tc>
          <w:tcPr>
            <w:tcW w:w="7146" w:type="dxa"/>
            <w:tcBorders/>
            <w:vAlign w:val="bottom"/>
          </w:tcPr>
          <w:p>
            <w:pPr>
              <w:pStyle w:val="TableContents"/>
              <w:bidi w:val="0"/>
              <w:spacing w:before="0" w:after="0"/>
              <w:ind w:left="504" w:right="0" w:hanging="144"/>
              <w:jc w:val="left"/>
              <w:rPr>
                <w:color w:val="000000"/>
              </w:rPr>
            </w:pPr>
            <w:r>
              <w:rPr>
                <w:color w:val="000000"/>
              </w:rPr>
              <w:t>Total current liabilities</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0"/>
              <w:jc w:val="right"/>
              <w:rPr>
                <w:color w:val="000000"/>
              </w:rPr>
            </w:pPr>
            <w:r>
              <w:rPr>
                <w:color w:val="000000"/>
              </w:rPr>
              <w:t>107,533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2" w:type="dxa"/>
            <w:tcBorders/>
            <w:vAlign w:val="bottom"/>
          </w:tcPr>
          <w:p>
            <w:pPr>
              <w:pStyle w:val="TableContents"/>
              <w:bidi w:val="0"/>
              <w:spacing w:before="0" w:after="283"/>
              <w:jc w:val="left"/>
              <w:rPr/>
            </w:pPr>
            <w:r>
              <w:rPr/>
              <w:t> </w:t>
            </w:r>
          </w:p>
        </w:tc>
        <w:tc>
          <w:tcPr>
            <w:tcW w:w="1300" w:type="dxa"/>
            <w:tcBorders/>
            <w:vAlign w:val="bottom"/>
          </w:tcPr>
          <w:p>
            <w:pPr>
              <w:pStyle w:val="TableContents"/>
              <w:bidi w:val="0"/>
              <w:spacing w:before="0" w:after="0"/>
              <w:jc w:val="right"/>
              <w:rPr>
                <w:color w:val="000000"/>
              </w:rPr>
            </w:pPr>
            <w:r>
              <w:rPr>
                <w:color w:val="000000"/>
              </w:rPr>
              <w:t>40,528</w:t>
            </w:r>
          </w:p>
        </w:tc>
        <w:tc>
          <w:tcPr>
            <w:tcW w:w="97" w:type="dxa"/>
            <w:tcBorders/>
            <w:vAlign w:val="bottom"/>
          </w:tcPr>
          <w:p>
            <w:pPr>
              <w:pStyle w:val="TableContents"/>
              <w:bidi w:val="0"/>
              <w:spacing w:before="0" w:after="283"/>
              <w:jc w:val="left"/>
              <w:rPr/>
            </w:pPr>
            <w:r>
              <w:rPr/>
              <w:t> </w:t>
            </w:r>
          </w:p>
        </w:tc>
      </w:tr>
      <w:tr>
        <w:trPr/>
        <w:tc>
          <w:tcPr>
            <w:tcW w:w="7146" w:type="dxa"/>
            <w:tcBorders/>
            <w:shd w:fill="CCEEFF" w:val="clear"/>
            <w:vAlign w:val="bottom"/>
          </w:tcPr>
          <w:p>
            <w:pPr>
              <w:pStyle w:val="TableContents"/>
              <w:bidi w:val="0"/>
              <w:spacing w:before="0" w:after="0"/>
              <w:ind w:left="144" w:right="0" w:hanging="144"/>
              <w:jc w:val="left"/>
              <w:rPr>
                <w:color w:val="000000"/>
              </w:rPr>
            </w:pPr>
            <w:r>
              <w:rPr>
                <w:color w:val="000000"/>
              </w:rPr>
              <w:t>Long-term liabilities:</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2" w:type="dxa"/>
            <w:tcBorders/>
            <w:shd w:fill="CCEEFF" w:val="clear"/>
            <w:vAlign w:val="bottom"/>
          </w:tcPr>
          <w:p>
            <w:pPr>
              <w:pStyle w:val="TableContents"/>
              <w:bidi w:val="0"/>
              <w:spacing w:before="0" w:after="283"/>
              <w:jc w:val="left"/>
              <w:rPr/>
            </w:pPr>
            <w:r>
              <w:rPr/>
              <w:t> </w:t>
            </w:r>
          </w:p>
        </w:tc>
        <w:tc>
          <w:tcPr>
            <w:tcW w:w="1300"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r>
      <w:tr>
        <w:trPr/>
        <w:tc>
          <w:tcPr>
            <w:tcW w:w="7146" w:type="dxa"/>
            <w:tcBorders/>
            <w:vAlign w:val="bottom"/>
          </w:tcPr>
          <w:p>
            <w:pPr>
              <w:pStyle w:val="TableContents"/>
              <w:bidi w:val="0"/>
              <w:spacing w:before="0" w:after="0"/>
              <w:ind w:left="324" w:right="0" w:hanging="144"/>
              <w:jc w:val="left"/>
              <w:rPr>
                <w:color w:val="000000"/>
              </w:rPr>
            </w:pPr>
            <w:r>
              <w:rPr>
                <w:color w:val="000000"/>
              </w:rPr>
              <w:t>Lease liabilities, net of current portion</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0"/>
              <w:jc w:val="right"/>
              <w:rPr>
                <w:color w:val="000000"/>
              </w:rPr>
            </w:pPr>
            <w:r>
              <w:rPr>
                <w:color w:val="000000"/>
              </w:rPr>
              <w:t>193,036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2" w:type="dxa"/>
            <w:tcBorders/>
            <w:vAlign w:val="bottom"/>
          </w:tcPr>
          <w:p>
            <w:pPr>
              <w:pStyle w:val="TableContents"/>
              <w:bidi w:val="0"/>
              <w:spacing w:before="0" w:after="283"/>
              <w:jc w:val="left"/>
              <w:rPr/>
            </w:pPr>
            <w:r>
              <w:rPr/>
              <w:t> </w:t>
            </w:r>
          </w:p>
        </w:tc>
        <w:tc>
          <w:tcPr>
            <w:tcW w:w="1300" w:type="dxa"/>
            <w:tcBorders/>
            <w:vAlign w:val="bottom"/>
          </w:tcPr>
          <w:p>
            <w:pPr>
              <w:pStyle w:val="TableContents"/>
              <w:bidi w:val="0"/>
              <w:spacing w:before="0" w:after="0"/>
              <w:jc w:val="right"/>
              <w:rPr>
                <w:color w:val="000000"/>
              </w:rPr>
            </w:pPr>
            <w:r>
              <w:rPr>
                <w:color w:val="000000"/>
              </w:rPr>
              <w:t>199,015</w:t>
            </w:r>
          </w:p>
        </w:tc>
        <w:tc>
          <w:tcPr>
            <w:tcW w:w="97" w:type="dxa"/>
            <w:tcBorders/>
            <w:vAlign w:val="bottom"/>
          </w:tcPr>
          <w:p>
            <w:pPr>
              <w:pStyle w:val="TableContents"/>
              <w:bidi w:val="0"/>
              <w:spacing w:before="0" w:after="283"/>
              <w:jc w:val="left"/>
              <w:rPr/>
            </w:pPr>
            <w:r>
              <w:rPr/>
              <w:t> </w:t>
            </w:r>
          </w:p>
        </w:tc>
      </w:tr>
      <w:tr>
        <w:trPr/>
        <w:tc>
          <w:tcPr>
            <w:tcW w:w="7146" w:type="dxa"/>
            <w:tcBorders/>
            <w:shd w:fill="CCEEFF" w:val="clear"/>
            <w:vAlign w:val="bottom"/>
          </w:tcPr>
          <w:p>
            <w:pPr>
              <w:pStyle w:val="TableContents"/>
              <w:bidi w:val="0"/>
              <w:spacing w:before="0" w:after="0"/>
              <w:ind w:left="324" w:right="0" w:hanging="144"/>
              <w:jc w:val="left"/>
              <w:rPr>
                <w:color w:val="000000"/>
              </w:rPr>
            </w:pPr>
            <w:r>
              <w:rPr>
                <w:color w:val="000000"/>
              </w:rPr>
              <w:t>Convertible note, at fair value</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0"/>
              <w:jc w:val="right"/>
              <w:rPr>
                <w:color w:val="000000"/>
              </w:rPr>
            </w:pPr>
            <w:r>
              <w:rPr>
                <w:color w:val="000000"/>
              </w:rPr>
              <w:t>41,700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2" w:type="dxa"/>
            <w:tcBorders/>
            <w:shd w:fill="CCEEFF" w:val="clear"/>
            <w:vAlign w:val="bottom"/>
          </w:tcPr>
          <w:p>
            <w:pPr>
              <w:pStyle w:val="TableContents"/>
              <w:bidi w:val="0"/>
              <w:spacing w:before="0" w:after="283"/>
              <w:jc w:val="left"/>
              <w:rPr/>
            </w:pPr>
            <w:r>
              <w:rPr/>
              <w:t> </w:t>
            </w:r>
          </w:p>
        </w:tc>
        <w:tc>
          <w:tcPr>
            <w:tcW w:w="1300" w:type="dxa"/>
            <w:tcBorders/>
            <w:shd w:fill="CCEEFF" w:val="clear"/>
            <w:vAlign w:val="bottom"/>
          </w:tcPr>
          <w:p>
            <w:pPr>
              <w:pStyle w:val="TableContents"/>
              <w:bidi w:val="0"/>
              <w:spacing w:before="0" w:after="0"/>
              <w:jc w:val="right"/>
              <w:rPr>
                <w:color w:val="000000"/>
              </w:rPr>
            </w:pPr>
            <w:r>
              <w:rPr>
                <w:color w:val="000000"/>
              </w:rPr>
              <w:t>41,600</w:t>
            </w:r>
          </w:p>
        </w:tc>
        <w:tc>
          <w:tcPr>
            <w:tcW w:w="97" w:type="dxa"/>
            <w:tcBorders/>
            <w:shd w:fill="CCEEFF" w:val="clear"/>
            <w:vAlign w:val="bottom"/>
          </w:tcPr>
          <w:p>
            <w:pPr>
              <w:pStyle w:val="TableContents"/>
              <w:bidi w:val="0"/>
              <w:spacing w:before="0" w:after="283"/>
              <w:jc w:val="left"/>
              <w:rPr/>
            </w:pPr>
            <w:r>
              <w:rPr/>
              <w:t> </w:t>
            </w:r>
          </w:p>
        </w:tc>
      </w:tr>
      <w:tr>
        <w:trPr/>
        <w:tc>
          <w:tcPr>
            <w:tcW w:w="7146" w:type="dxa"/>
            <w:tcBorders/>
            <w:vAlign w:val="bottom"/>
          </w:tcPr>
          <w:p>
            <w:pPr>
              <w:pStyle w:val="TableContents"/>
              <w:bidi w:val="0"/>
              <w:spacing w:before="0" w:after="0"/>
              <w:ind w:left="324" w:right="0" w:hanging="144"/>
              <w:jc w:val="left"/>
              <w:rPr>
                <w:color w:val="000000"/>
              </w:rPr>
            </w:pPr>
            <w:r>
              <w:rPr>
                <w:color w:val="000000"/>
              </w:rPr>
              <w:t>Convertible note, related party</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0"/>
              <w:jc w:val="right"/>
              <w:rPr>
                <w:color w:val="000000"/>
              </w:rPr>
            </w:pPr>
            <w:r>
              <w:rPr>
                <w:color w:val="000000"/>
              </w:rPr>
              <w:t>65,523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2" w:type="dxa"/>
            <w:tcBorders/>
            <w:vAlign w:val="bottom"/>
          </w:tcPr>
          <w:p>
            <w:pPr>
              <w:pStyle w:val="TableContents"/>
              <w:bidi w:val="0"/>
              <w:spacing w:before="0" w:after="283"/>
              <w:jc w:val="left"/>
              <w:rPr/>
            </w:pPr>
            <w:r>
              <w:rPr/>
              <w:t> </w:t>
            </w:r>
          </w:p>
        </w:tc>
        <w:tc>
          <w:tcPr>
            <w:tcW w:w="1300" w:type="dxa"/>
            <w:tcBorders/>
            <w:vAlign w:val="bottom"/>
          </w:tcPr>
          <w:p>
            <w:pPr>
              <w:pStyle w:val="TableContents"/>
              <w:bidi w:val="0"/>
              <w:spacing w:before="0" w:after="0"/>
              <w:jc w:val="right"/>
              <w:rPr>
                <w:color w:val="000000"/>
              </w:rPr>
            </w:pPr>
            <w:r>
              <w:rPr>
                <w:color w:val="000000"/>
              </w:rPr>
              <w:t>60,895</w:t>
            </w:r>
          </w:p>
        </w:tc>
        <w:tc>
          <w:tcPr>
            <w:tcW w:w="97" w:type="dxa"/>
            <w:tcBorders/>
            <w:vAlign w:val="bottom"/>
          </w:tcPr>
          <w:p>
            <w:pPr>
              <w:pStyle w:val="TableContents"/>
              <w:bidi w:val="0"/>
              <w:spacing w:before="0" w:after="283"/>
              <w:jc w:val="left"/>
              <w:rPr/>
            </w:pPr>
            <w:r>
              <w:rPr/>
              <w:t> </w:t>
            </w:r>
          </w:p>
        </w:tc>
      </w:tr>
      <w:tr>
        <w:trPr/>
        <w:tc>
          <w:tcPr>
            <w:tcW w:w="7146" w:type="dxa"/>
            <w:tcBorders/>
            <w:shd w:fill="CCEEFF" w:val="clear"/>
            <w:vAlign w:val="bottom"/>
          </w:tcPr>
          <w:p>
            <w:pPr>
              <w:pStyle w:val="TableContents"/>
              <w:bidi w:val="0"/>
              <w:spacing w:before="0" w:after="0"/>
              <w:ind w:left="324" w:right="0" w:hanging="144"/>
              <w:jc w:val="left"/>
              <w:rPr>
                <w:color w:val="000000"/>
              </w:rPr>
            </w:pPr>
            <w:r>
              <w:rPr>
                <w:color w:val="000000"/>
              </w:rPr>
              <w:t>Deferred revenue, non-current</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2" w:type="dxa"/>
            <w:tcBorders/>
            <w:shd w:fill="CCEEFF" w:val="clear"/>
            <w:vAlign w:val="bottom"/>
          </w:tcPr>
          <w:p>
            <w:pPr>
              <w:pStyle w:val="TableContents"/>
              <w:bidi w:val="0"/>
              <w:spacing w:before="0" w:after="283"/>
              <w:jc w:val="left"/>
              <w:rPr/>
            </w:pPr>
            <w:r>
              <w:rPr/>
              <w:t> </w:t>
            </w:r>
          </w:p>
        </w:tc>
        <w:tc>
          <w:tcPr>
            <w:tcW w:w="1300" w:type="dxa"/>
            <w:tcBorders/>
            <w:shd w:fill="CCEEFF" w:val="clear"/>
            <w:vAlign w:val="bottom"/>
          </w:tcPr>
          <w:p>
            <w:pPr>
              <w:pStyle w:val="TableContents"/>
              <w:bidi w:val="0"/>
              <w:spacing w:before="0" w:after="0"/>
              <w:jc w:val="right"/>
              <w:rPr>
                <w:color w:val="000000"/>
              </w:rPr>
            </w:pPr>
            <w:r>
              <w:rPr>
                <w:color w:val="000000"/>
              </w:rPr>
              <w:t>49,138</w:t>
            </w:r>
          </w:p>
        </w:tc>
        <w:tc>
          <w:tcPr>
            <w:tcW w:w="97" w:type="dxa"/>
            <w:tcBorders/>
            <w:shd w:fill="CCEEFF" w:val="clear"/>
            <w:vAlign w:val="bottom"/>
          </w:tcPr>
          <w:p>
            <w:pPr>
              <w:pStyle w:val="TableContents"/>
              <w:bidi w:val="0"/>
              <w:spacing w:before="0" w:after="283"/>
              <w:jc w:val="left"/>
              <w:rPr/>
            </w:pPr>
            <w:r>
              <w:rPr/>
              <w:t> </w:t>
            </w:r>
          </w:p>
        </w:tc>
      </w:tr>
      <w:tr>
        <w:trPr/>
        <w:tc>
          <w:tcPr>
            <w:tcW w:w="7146" w:type="dxa"/>
            <w:tcBorders/>
            <w:vAlign w:val="bottom"/>
          </w:tcPr>
          <w:p>
            <w:pPr>
              <w:pStyle w:val="TableContents"/>
              <w:bidi w:val="0"/>
              <w:spacing w:before="0" w:after="0"/>
              <w:ind w:left="324" w:right="0" w:hanging="144"/>
              <w:jc w:val="left"/>
              <w:rPr>
                <w:color w:val="000000"/>
              </w:rPr>
            </w:pPr>
            <w:r>
              <w:rPr>
                <w:color w:val="000000"/>
              </w:rPr>
              <w:t>Other long-term liabilities</w:t>
            </w:r>
          </w:p>
        </w:tc>
        <w:tc>
          <w:tcPr>
            <w:tcW w:w="60" w:type="dxa"/>
            <w:tcBorders/>
            <w:vAlign w:val="bottom"/>
          </w:tcPr>
          <w:p>
            <w:pPr>
              <w:pStyle w:val="TableContents"/>
              <w:bidi w:val="0"/>
              <w:spacing w:before="0" w:after="283"/>
              <w:jc w:val="right"/>
              <w:rPr/>
            </w:pPr>
            <w:r>
              <w:rPr/>
              <w:t> </w:t>
            </w:r>
          </w:p>
        </w:tc>
        <w:tc>
          <w:tcPr>
            <w:tcW w:w="149" w:type="dxa"/>
            <w:tcBorders>
              <w:bottom w:val="single" w:sz="12" w:space="0" w:color="000000"/>
            </w:tcBorders>
            <w:tcMar>
              <w:bottom w:w="28" w:type="dxa"/>
            </w:tcMar>
            <w:vAlign w:val="bottom"/>
          </w:tcPr>
          <w:p>
            <w:pPr>
              <w:pStyle w:val="TableContents"/>
              <w:bidi w:val="0"/>
              <w:spacing w:before="0" w:after="283"/>
              <w:jc w:val="left"/>
              <w:rPr/>
            </w:pPr>
            <w:r>
              <w:rPr/>
              <w:t> </w:t>
            </w:r>
          </w:p>
        </w:tc>
        <w:tc>
          <w:tcPr>
            <w:tcW w:w="112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17,318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2" w:type="dxa"/>
            <w:tcBorders>
              <w:bottom w:val="single" w:sz="12" w:space="0" w:color="000000"/>
            </w:tcBorders>
            <w:tcMar>
              <w:bottom w:w="28" w:type="dxa"/>
            </w:tcMar>
            <w:vAlign w:val="bottom"/>
          </w:tcPr>
          <w:p>
            <w:pPr>
              <w:pStyle w:val="TableContents"/>
              <w:bidi w:val="0"/>
              <w:spacing w:before="0" w:after="283"/>
              <w:jc w:val="left"/>
              <w:rPr/>
            </w:pPr>
            <w:r>
              <w:rPr/>
              <w:t> </w:t>
            </w:r>
          </w:p>
        </w:tc>
        <w:tc>
          <w:tcPr>
            <w:tcW w:w="13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15,433</w:t>
            </w:r>
          </w:p>
        </w:tc>
        <w:tc>
          <w:tcPr>
            <w:tcW w:w="97" w:type="dxa"/>
            <w:tcBorders/>
            <w:vAlign w:val="bottom"/>
          </w:tcPr>
          <w:p>
            <w:pPr>
              <w:pStyle w:val="TableContents"/>
              <w:bidi w:val="0"/>
              <w:spacing w:before="0" w:after="283"/>
              <w:jc w:val="left"/>
              <w:rPr/>
            </w:pPr>
            <w:r>
              <w:rPr/>
              <w:t> </w:t>
            </w:r>
          </w:p>
        </w:tc>
      </w:tr>
      <w:tr>
        <w:trPr/>
        <w:tc>
          <w:tcPr>
            <w:tcW w:w="7146" w:type="dxa"/>
            <w:tcBorders/>
            <w:shd w:fill="CCEEFF" w:val="clear"/>
            <w:vAlign w:val="bottom"/>
          </w:tcPr>
          <w:p>
            <w:pPr>
              <w:pStyle w:val="TableContents"/>
              <w:bidi w:val="0"/>
              <w:spacing w:before="0" w:after="0"/>
              <w:ind w:left="504" w:right="0" w:hanging="144"/>
              <w:jc w:val="left"/>
              <w:rPr>
                <w:color w:val="000000"/>
              </w:rPr>
            </w:pPr>
            <w:r>
              <w:rPr>
                <w:color w:val="000000"/>
              </w:rPr>
              <w:t>Total liabilities</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0"/>
              <w:jc w:val="right"/>
              <w:rPr>
                <w:color w:val="000000"/>
              </w:rPr>
            </w:pPr>
            <w:r>
              <w:rPr>
                <w:color w:val="000000"/>
              </w:rPr>
              <w:t>425,110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2" w:type="dxa"/>
            <w:tcBorders/>
            <w:shd w:fill="CCEEFF" w:val="clear"/>
            <w:vAlign w:val="bottom"/>
          </w:tcPr>
          <w:p>
            <w:pPr>
              <w:pStyle w:val="TableContents"/>
              <w:bidi w:val="0"/>
              <w:spacing w:before="0" w:after="283"/>
              <w:jc w:val="left"/>
              <w:rPr/>
            </w:pPr>
            <w:r>
              <w:rPr/>
              <w:t> </w:t>
            </w:r>
          </w:p>
        </w:tc>
        <w:tc>
          <w:tcPr>
            <w:tcW w:w="1300" w:type="dxa"/>
            <w:tcBorders/>
            <w:shd w:fill="CCEEFF" w:val="clear"/>
            <w:vAlign w:val="bottom"/>
          </w:tcPr>
          <w:p>
            <w:pPr>
              <w:pStyle w:val="TableContents"/>
              <w:bidi w:val="0"/>
              <w:spacing w:before="0" w:after="0"/>
              <w:jc w:val="right"/>
              <w:rPr>
                <w:color w:val="000000"/>
              </w:rPr>
            </w:pPr>
            <w:r>
              <w:rPr>
                <w:color w:val="000000"/>
              </w:rPr>
              <w:t>406,609</w:t>
            </w:r>
          </w:p>
        </w:tc>
        <w:tc>
          <w:tcPr>
            <w:tcW w:w="97" w:type="dxa"/>
            <w:tcBorders/>
            <w:shd w:fill="CCEEFF" w:val="clear"/>
            <w:vAlign w:val="bottom"/>
          </w:tcPr>
          <w:p>
            <w:pPr>
              <w:pStyle w:val="TableContents"/>
              <w:bidi w:val="0"/>
              <w:spacing w:before="0" w:after="283"/>
              <w:jc w:val="left"/>
              <w:rPr/>
            </w:pPr>
            <w:r>
              <w:rPr/>
              <w:t> </w:t>
            </w:r>
          </w:p>
        </w:tc>
      </w:tr>
      <w:tr>
        <w:trPr/>
        <w:tc>
          <w:tcPr>
            <w:tcW w:w="7146" w:type="dxa"/>
            <w:tcBorders/>
            <w:vAlign w:val="bottom"/>
          </w:tcPr>
          <w:p>
            <w:pPr>
              <w:pStyle w:val="TableContents"/>
              <w:bidi w:val="0"/>
              <w:spacing w:before="0" w:after="0"/>
              <w:ind w:left="144" w:right="0" w:hanging="144"/>
              <w:jc w:val="left"/>
              <w:rPr>
                <w:color w:val="000000"/>
              </w:rPr>
            </w:pPr>
            <w:r>
              <w:rPr>
                <w:color w:val="000000"/>
              </w:rPr>
              <w:t>Commitments and contingencies (Note 13)</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2" w:type="dxa"/>
            <w:tcBorders/>
            <w:vAlign w:val="bottom"/>
          </w:tcPr>
          <w:p>
            <w:pPr>
              <w:pStyle w:val="TableContents"/>
              <w:bidi w:val="0"/>
              <w:spacing w:before="0" w:after="283"/>
              <w:jc w:val="left"/>
              <w:rPr/>
            </w:pPr>
            <w:r>
              <w:rPr/>
              <w:t> </w:t>
            </w:r>
          </w:p>
        </w:tc>
        <w:tc>
          <w:tcPr>
            <w:tcW w:w="1300"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r>
      <w:tr>
        <w:trPr/>
        <w:tc>
          <w:tcPr>
            <w:tcW w:w="7146" w:type="dxa"/>
            <w:tcBorders/>
            <w:shd w:fill="CCEEFF" w:val="clear"/>
            <w:vAlign w:val="bottom"/>
          </w:tcPr>
          <w:p>
            <w:pPr>
              <w:pStyle w:val="TableContents"/>
              <w:bidi w:val="0"/>
              <w:spacing w:before="0" w:after="0"/>
              <w:ind w:left="180" w:right="0" w:hanging="180"/>
              <w:jc w:val="left"/>
              <w:rPr>
                <w:color w:val="000000"/>
              </w:rPr>
            </w:pPr>
            <w:r>
              <w:rPr>
                <w:color w:val="000000"/>
              </w:rPr>
              <w:t>Redeemable convertible preferred stock, $0.0001 par value – 213,700,719 shares authorized; 212,541,832 shares issued and outstanding as of June 30, 2026, and December 31, 2025.</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0"/>
              <w:jc w:val="right"/>
              <w:rPr>
                <w:color w:val="000000"/>
              </w:rPr>
            </w:pPr>
            <w:r>
              <w:rPr>
                <w:color w:val="000000"/>
              </w:rPr>
              <w:t>1,363,580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2" w:type="dxa"/>
            <w:tcBorders/>
            <w:shd w:fill="CCEEFF" w:val="clear"/>
            <w:vAlign w:val="bottom"/>
          </w:tcPr>
          <w:p>
            <w:pPr>
              <w:pStyle w:val="TableContents"/>
              <w:bidi w:val="0"/>
              <w:spacing w:before="0" w:after="283"/>
              <w:jc w:val="left"/>
              <w:rPr/>
            </w:pPr>
            <w:r>
              <w:rPr/>
              <w:t> </w:t>
            </w:r>
          </w:p>
        </w:tc>
        <w:tc>
          <w:tcPr>
            <w:tcW w:w="1300" w:type="dxa"/>
            <w:tcBorders/>
            <w:shd w:fill="CCEEFF" w:val="clear"/>
            <w:vAlign w:val="bottom"/>
          </w:tcPr>
          <w:p>
            <w:pPr>
              <w:pStyle w:val="TableContents"/>
              <w:bidi w:val="0"/>
              <w:spacing w:before="0" w:after="0"/>
              <w:jc w:val="right"/>
              <w:rPr>
                <w:color w:val="000000"/>
              </w:rPr>
            </w:pPr>
            <w:r>
              <w:rPr>
                <w:color w:val="000000"/>
              </w:rPr>
              <w:t>1,363,580</w:t>
            </w:r>
          </w:p>
        </w:tc>
        <w:tc>
          <w:tcPr>
            <w:tcW w:w="97" w:type="dxa"/>
            <w:tcBorders/>
            <w:shd w:fill="CCEEFF" w:val="clear"/>
            <w:vAlign w:val="bottom"/>
          </w:tcPr>
          <w:p>
            <w:pPr>
              <w:pStyle w:val="TableContents"/>
              <w:bidi w:val="0"/>
              <w:spacing w:before="0" w:after="283"/>
              <w:jc w:val="left"/>
              <w:rPr/>
            </w:pPr>
            <w:r>
              <w:rPr/>
              <w:t> </w:t>
            </w:r>
          </w:p>
        </w:tc>
      </w:tr>
      <w:tr>
        <w:trPr/>
        <w:tc>
          <w:tcPr>
            <w:tcW w:w="7146" w:type="dxa"/>
            <w:tcBorders/>
            <w:vAlign w:val="bottom"/>
          </w:tcPr>
          <w:p>
            <w:pPr>
              <w:pStyle w:val="TableContents"/>
              <w:bidi w:val="0"/>
              <w:spacing w:before="0" w:after="0"/>
              <w:ind w:left="144" w:right="0" w:hanging="144"/>
              <w:jc w:val="left"/>
              <w:rPr>
                <w:color w:val="000000"/>
              </w:rPr>
            </w:pPr>
            <w:r>
              <w:rPr>
                <w:color w:val="000000"/>
              </w:rPr>
              <w:t>Stockholders’ deficit</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2" w:type="dxa"/>
            <w:tcBorders/>
            <w:vAlign w:val="bottom"/>
          </w:tcPr>
          <w:p>
            <w:pPr>
              <w:pStyle w:val="TableContents"/>
              <w:bidi w:val="0"/>
              <w:spacing w:before="0" w:after="283"/>
              <w:jc w:val="left"/>
              <w:rPr/>
            </w:pPr>
            <w:r>
              <w:rPr/>
              <w:t> </w:t>
            </w:r>
          </w:p>
        </w:tc>
        <w:tc>
          <w:tcPr>
            <w:tcW w:w="1300"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r>
      <w:tr>
        <w:trPr/>
        <w:tc>
          <w:tcPr>
            <w:tcW w:w="7146" w:type="dxa"/>
            <w:tcBorders/>
            <w:shd w:fill="CCEEFF" w:val="clear"/>
            <w:vAlign w:val="bottom"/>
          </w:tcPr>
          <w:p>
            <w:pPr>
              <w:pStyle w:val="TableContents"/>
              <w:bidi w:val="0"/>
              <w:spacing w:before="0" w:after="0"/>
              <w:ind w:left="684" w:right="0" w:hanging="504"/>
              <w:jc w:val="left"/>
              <w:rPr>
                <w:color w:val="000000"/>
              </w:rPr>
            </w:pPr>
            <w:r>
              <w:rPr>
                <w:color w:val="000000"/>
              </w:rPr>
              <w:t xml:space="preserve">Common stock, $0.0001 par value – 302,184,000 shares authorized; 26,267,598 shares issued and </w:t>
            </w:r>
          </w:p>
          <w:p>
            <w:pPr>
              <w:pStyle w:val="TableContents"/>
              <w:bidi w:val="0"/>
              <w:spacing w:before="0" w:after="0"/>
              <w:ind w:left="864" w:right="0" w:hanging="504"/>
              <w:jc w:val="left"/>
              <w:rPr>
                <w:color w:val="000000"/>
              </w:rPr>
            </w:pPr>
            <w:r>
              <w:rPr>
                <w:color w:val="000000"/>
              </w:rPr>
              <w:t xml:space="preserve">outstanding as of June 30, 2026, and December 31, 2025. </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0"/>
              <w:jc w:val="right"/>
              <w:rPr>
                <w:color w:val="000000"/>
              </w:rPr>
            </w:pPr>
            <w:r>
              <w:rPr>
                <w:color w:val="000000"/>
              </w:rPr>
              <w:t>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2" w:type="dxa"/>
            <w:tcBorders/>
            <w:shd w:fill="CCEEFF" w:val="clear"/>
            <w:vAlign w:val="bottom"/>
          </w:tcPr>
          <w:p>
            <w:pPr>
              <w:pStyle w:val="TableContents"/>
              <w:bidi w:val="0"/>
              <w:spacing w:before="0" w:after="283"/>
              <w:jc w:val="left"/>
              <w:rPr/>
            </w:pPr>
            <w:r>
              <w:rPr/>
              <w:t> </w:t>
            </w:r>
          </w:p>
        </w:tc>
        <w:tc>
          <w:tcPr>
            <w:tcW w:w="1300" w:type="dxa"/>
            <w:tcBorders/>
            <w:shd w:fill="CCEEFF" w:val="clear"/>
            <w:vAlign w:val="bottom"/>
          </w:tcPr>
          <w:p>
            <w:pPr>
              <w:pStyle w:val="TableContents"/>
              <w:bidi w:val="0"/>
              <w:spacing w:before="0" w:after="0"/>
              <w:jc w:val="right"/>
              <w:rPr>
                <w:color w:val="000000"/>
              </w:rPr>
            </w:pPr>
            <w:r>
              <w:rPr>
                <w:color w:val="000000"/>
              </w:rPr>
              <w:t>3</w:t>
            </w:r>
          </w:p>
        </w:tc>
        <w:tc>
          <w:tcPr>
            <w:tcW w:w="97" w:type="dxa"/>
            <w:tcBorders/>
            <w:shd w:fill="CCEEFF" w:val="clear"/>
            <w:vAlign w:val="bottom"/>
          </w:tcPr>
          <w:p>
            <w:pPr>
              <w:pStyle w:val="TableContents"/>
              <w:bidi w:val="0"/>
              <w:spacing w:before="0" w:after="283"/>
              <w:jc w:val="left"/>
              <w:rPr/>
            </w:pPr>
            <w:r>
              <w:rPr/>
              <w:t> </w:t>
            </w:r>
          </w:p>
        </w:tc>
      </w:tr>
      <w:tr>
        <w:trPr/>
        <w:tc>
          <w:tcPr>
            <w:tcW w:w="7146" w:type="dxa"/>
            <w:tcBorders/>
            <w:vAlign w:val="bottom"/>
          </w:tcPr>
          <w:p>
            <w:pPr>
              <w:pStyle w:val="TableContents"/>
              <w:bidi w:val="0"/>
              <w:spacing w:before="0" w:after="0"/>
              <w:ind w:left="324" w:right="0" w:hanging="144"/>
              <w:jc w:val="left"/>
              <w:rPr>
                <w:color w:val="000000"/>
              </w:rPr>
            </w:pPr>
            <w:r>
              <w:rPr>
                <w:color w:val="000000"/>
              </w:rPr>
              <w:t>Additional paid-in capital</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0"/>
              <w:jc w:val="right"/>
              <w:rPr>
                <w:color w:val="000000"/>
              </w:rPr>
            </w:pPr>
            <w:r>
              <w:rPr>
                <w:color w:val="000000"/>
              </w:rPr>
              <w:t>89,471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2" w:type="dxa"/>
            <w:tcBorders/>
            <w:vAlign w:val="bottom"/>
          </w:tcPr>
          <w:p>
            <w:pPr>
              <w:pStyle w:val="TableContents"/>
              <w:bidi w:val="0"/>
              <w:spacing w:before="0" w:after="283"/>
              <w:jc w:val="left"/>
              <w:rPr/>
            </w:pPr>
            <w:r>
              <w:rPr/>
              <w:t> </w:t>
            </w:r>
          </w:p>
        </w:tc>
        <w:tc>
          <w:tcPr>
            <w:tcW w:w="1300" w:type="dxa"/>
            <w:tcBorders/>
            <w:vAlign w:val="bottom"/>
          </w:tcPr>
          <w:p>
            <w:pPr>
              <w:pStyle w:val="TableContents"/>
              <w:bidi w:val="0"/>
              <w:spacing w:before="0" w:after="0"/>
              <w:jc w:val="right"/>
              <w:rPr>
                <w:color w:val="000000"/>
              </w:rPr>
            </w:pPr>
            <w:r>
              <w:rPr>
                <w:color w:val="000000"/>
              </w:rPr>
              <w:t>83,834</w:t>
            </w:r>
          </w:p>
        </w:tc>
        <w:tc>
          <w:tcPr>
            <w:tcW w:w="97" w:type="dxa"/>
            <w:tcBorders/>
            <w:vAlign w:val="bottom"/>
          </w:tcPr>
          <w:p>
            <w:pPr>
              <w:pStyle w:val="TableContents"/>
              <w:bidi w:val="0"/>
              <w:spacing w:before="0" w:after="283"/>
              <w:jc w:val="left"/>
              <w:rPr/>
            </w:pPr>
            <w:r>
              <w:rPr/>
              <w:t> </w:t>
            </w:r>
          </w:p>
        </w:tc>
      </w:tr>
      <w:tr>
        <w:trPr/>
        <w:tc>
          <w:tcPr>
            <w:tcW w:w="7146" w:type="dxa"/>
            <w:tcBorders/>
            <w:shd w:fill="CCEEFF" w:val="clear"/>
            <w:vAlign w:val="bottom"/>
          </w:tcPr>
          <w:p>
            <w:pPr>
              <w:pStyle w:val="TableContents"/>
              <w:bidi w:val="0"/>
              <w:spacing w:before="0" w:after="0"/>
              <w:ind w:left="324" w:right="0" w:hanging="144"/>
              <w:jc w:val="left"/>
              <w:rPr>
                <w:color w:val="000000"/>
              </w:rPr>
            </w:pPr>
            <w:r>
              <w:rPr>
                <w:color w:val="000000"/>
              </w:rPr>
              <w:t>Accumulated other comprehensive gain</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0"/>
              <w:jc w:val="right"/>
              <w:rPr>
                <w:color w:val="000000"/>
              </w:rPr>
            </w:pPr>
            <w:r>
              <w:rPr>
                <w:color w:val="000000"/>
              </w:rPr>
              <w:t>28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2" w:type="dxa"/>
            <w:tcBorders/>
            <w:shd w:fill="CCEEFF" w:val="clear"/>
            <w:vAlign w:val="bottom"/>
          </w:tcPr>
          <w:p>
            <w:pPr>
              <w:pStyle w:val="TableContents"/>
              <w:bidi w:val="0"/>
              <w:spacing w:before="0" w:after="283"/>
              <w:jc w:val="left"/>
              <w:rPr/>
            </w:pPr>
            <w:r>
              <w:rPr/>
              <w:t> </w:t>
            </w:r>
          </w:p>
        </w:tc>
        <w:tc>
          <w:tcPr>
            <w:tcW w:w="1300" w:type="dxa"/>
            <w:tcBorders/>
            <w:shd w:fill="CCEEFF" w:val="clear"/>
            <w:vAlign w:val="bottom"/>
          </w:tcPr>
          <w:p>
            <w:pPr>
              <w:pStyle w:val="TableContents"/>
              <w:bidi w:val="0"/>
              <w:spacing w:before="0" w:after="0"/>
              <w:jc w:val="right"/>
              <w:rPr>
                <w:color w:val="000000"/>
              </w:rPr>
            </w:pPr>
            <w:r>
              <w:rPr>
                <w:color w:val="000000"/>
              </w:rPr>
              <w:t>132</w:t>
            </w:r>
          </w:p>
        </w:tc>
        <w:tc>
          <w:tcPr>
            <w:tcW w:w="97" w:type="dxa"/>
            <w:tcBorders/>
            <w:shd w:fill="CCEEFF" w:val="clear"/>
            <w:vAlign w:val="bottom"/>
          </w:tcPr>
          <w:p>
            <w:pPr>
              <w:pStyle w:val="TableContents"/>
              <w:bidi w:val="0"/>
              <w:spacing w:before="0" w:after="283"/>
              <w:jc w:val="left"/>
              <w:rPr/>
            </w:pPr>
            <w:r>
              <w:rPr/>
              <w:t> </w:t>
            </w:r>
          </w:p>
        </w:tc>
      </w:tr>
      <w:tr>
        <w:trPr/>
        <w:tc>
          <w:tcPr>
            <w:tcW w:w="7146" w:type="dxa"/>
            <w:tcBorders/>
            <w:vAlign w:val="bottom"/>
          </w:tcPr>
          <w:p>
            <w:pPr>
              <w:pStyle w:val="TableContents"/>
              <w:bidi w:val="0"/>
              <w:spacing w:before="0" w:after="0"/>
              <w:ind w:left="324" w:right="0" w:hanging="144"/>
              <w:jc w:val="left"/>
              <w:rPr>
                <w:color w:val="000000"/>
              </w:rPr>
            </w:pPr>
            <w:r>
              <w:rPr>
                <w:color w:val="000000"/>
              </w:rPr>
              <w:t>Accumulated deficit</w:t>
            </w:r>
          </w:p>
        </w:tc>
        <w:tc>
          <w:tcPr>
            <w:tcW w:w="60" w:type="dxa"/>
            <w:tcBorders/>
            <w:vAlign w:val="bottom"/>
          </w:tcPr>
          <w:p>
            <w:pPr>
              <w:pStyle w:val="TableContents"/>
              <w:bidi w:val="0"/>
              <w:spacing w:before="0" w:after="283"/>
              <w:jc w:val="right"/>
              <w:rPr/>
            </w:pPr>
            <w:r>
              <w:rPr/>
              <w:t> </w:t>
            </w:r>
          </w:p>
        </w:tc>
        <w:tc>
          <w:tcPr>
            <w:tcW w:w="149" w:type="dxa"/>
            <w:tcBorders>
              <w:bottom w:val="single" w:sz="12" w:space="0" w:color="000000"/>
            </w:tcBorders>
            <w:tcMar>
              <w:bottom w:w="28" w:type="dxa"/>
            </w:tcMar>
            <w:vAlign w:val="bottom"/>
          </w:tcPr>
          <w:p>
            <w:pPr>
              <w:pStyle w:val="TableContents"/>
              <w:bidi w:val="0"/>
              <w:spacing w:before="0" w:after="283"/>
              <w:jc w:val="left"/>
              <w:rPr/>
            </w:pPr>
            <w:r>
              <w:rPr/>
              <w:t> </w:t>
            </w:r>
          </w:p>
        </w:tc>
        <w:tc>
          <w:tcPr>
            <w:tcW w:w="112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(1,479,693</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72" w:type="dxa"/>
            <w:tcBorders>
              <w:bottom w:val="single" w:sz="12" w:space="0" w:color="000000"/>
            </w:tcBorders>
            <w:tcMar>
              <w:bottom w:w="28" w:type="dxa"/>
            </w:tcMar>
            <w:vAlign w:val="bottom"/>
          </w:tcPr>
          <w:p>
            <w:pPr>
              <w:pStyle w:val="TableContents"/>
              <w:bidi w:val="0"/>
              <w:spacing w:before="0" w:after="283"/>
              <w:jc w:val="left"/>
              <w:rPr/>
            </w:pPr>
            <w:r>
              <w:rPr/>
              <w:t> </w:t>
            </w:r>
          </w:p>
        </w:tc>
        <w:tc>
          <w:tcPr>
            <w:tcW w:w="13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(1,347,105</w:t>
            </w:r>
          </w:p>
        </w:tc>
        <w:tc>
          <w:tcPr>
            <w:tcW w:w="97" w:type="dxa"/>
            <w:tcBorders/>
            <w:vAlign w:val="bottom"/>
          </w:tcPr>
          <w:p>
            <w:pPr>
              <w:pStyle w:val="TableContents"/>
              <w:bidi w:val="0"/>
              <w:spacing w:before="0" w:after="0"/>
              <w:jc w:val="left"/>
              <w:rPr>
                <w:color w:val="000000"/>
              </w:rPr>
            </w:pPr>
            <w:r>
              <w:rPr>
                <w:color w:val="000000"/>
              </w:rPr>
              <w:t>)</w:t>
            </w:r>
          </w:p>
        </w:tc>
      </w:tr>
      <w:tr>
        <w:trPr/>
        <w:tc>
          <w:tcPr>
            <w:tcW w:w="7146" w:type="dxa"/>
            <w:tcBorders/>
            <w:shd w:fill="CCEEFF" w:val="clear"/>
            <w:vAlign w:val="bottom"/>
          </w:tcPr>
          <w:p>
            <w:pPr>
              <w:pStyle w:val="TableContents"/>
              <w:bidi w:val="0"/>
              <w:spacing w:before="0" w:after="0"/>
              <w:ind w:left="324" w:right="0" w:hanging="144"/>
              <w:jc w:val="left"/>
              <w:rPr>
                <w:color w:val="000000"/>
              </w:rPr>
            </w:pPr>
            <w:r>
              <w:rPr>
                <w:color w:val="000000"/>
              </w:rPr>
              <w:t>Total stockholders’ deficit</w:t>
            </w:r>
          </w:p>
        </w:tc>
        <w:tc>
          <w:tcPr>
            <w:tcW w:w="60" w:type="dxa"/>
            <w:tcBorders/>
            <w:shd w:fill="CCEEFF" w:val="clear"/>
            <w:vAlign w:val="bottom"/>
          </w:tcPr>
          <w:p>
            <w:pPr>
              <w:pStyle w:val="TableContents"/>
              <w:bidi w:val="0"/>
              <w:spacing w:before="0" w:after="283"/>
              <w:jc w:val="right"/>
              <w:rPr/>
            </w:pPr>
            <w:r>
              <w:rPr/>
              <w:t> </w:t>
            </w:r>
          </w:p>
        </w:tc>
        <w:tc>
          <w:tcPr>
            <w:tcW w:w="14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2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(1,390,191</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(1,263,136</w:t>
            </w:r>
          </w:p>
        </w:tc>
        <w:tc>
          <w:tcPr>
            <w:tcW w:w="97" w:type="dxa"/>
            <w:tcBorders/>
            <w:shd w:fill="CCEEFF" w:val="clear"/>
            <w:vAlign w:val="bottom"/>
          </w:tcPr>
          <w:p>
            <w:pPr>
              <w:pStyle w:val="TableContents"/>
              <w:bidi w:val="0"/>
              <w:spacing w:before="0" w:after="0"/>
              <w:jc w:val="left"/>
              <w:rPr>
                <w:color w:val="000000"/>
              </w:rPr>
            </w:pPr>
            <w:r>
              <w:rPr>
                <w:color w:val="000000"/>
              </w:rPr>
              <w:t>)</w:t>
            </w:r>
          </w:p>
        </w:tc>
      </w:tr>
      <w:tr>
        <w:trPr/>
        <w:tc>
          <w:tcPr>
            <w:tcW w:w="7146" w:type="dxa"/>
            <w:tcBorders/>
            <w:vAlign w:val="bottom"/>
          </w:tcPr>
          <w:p>
            <w:pPr>
              <w:pStyle w:val="TableContents"/>
              <w:bidi w:val="0"/>
              <w:spacing w:before="0" w:after="0"/>
              <w:ind w:left="144" w:right="0" w:hanging="144"/>
              <w:jc w:val="left"/>
              <w:rPr>
                <w:b/>
                <w:color w:val="000000"/>
              </w:rPr>
            </w:pPr>
            <w:r>
              <w:rPr>
                <w:b/>
                <w:color w:val="000000"/>
              </w:rPr>
              <w:t>Total liabilities, convertible preferred stock, and stockholders’ deficit</w:t>
            </w:r>
          </w:p>
        </w:tc>
        <w:tc>
          <w:tcPr>
            <w:tcW w:w="60" w:type="dxa"/>
            <w:tcBorders/>
            <w:vAlign w:val="bottom"/>
          </w:tcPr>
          <w:p>
            <w:pPr>
              <w:pStyle w:val="TableContents"/>
              <w:bidi w:val="0"/>
              <w:spacing w:before="0" w:after="283"/>
              <w:jc w:val="right"/>
              <w:rPr/>
            </w:pPr>
            <w:r>
              <w:rPr/>
              <w:t> </w:t>
            </w:r>
          </w:p>
        </w:tc>
        <w:tc>
          <w:tcPr>
            <w:tcW w:w="149"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126"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398,499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2"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30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507,053</w:t>
            </w:r>
          </w:p>
        </w:tc>
        <w:tc>
          <w:tcPr>
            <w:tcW w:w="97" w:type="dxa"/>
            <w:tcBorders/>
            <w:vAlign w:val="bottom"/>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0" w:after="0"/>
        <w:jc w:val="left"/>
        <w:rPr>
          <w:i w:val="false"/>
          <w:caps w:val="false"/>
          <w:smallCaps w:val="false"/>
          <w:color w:val="000000"/>
        </w:rPr>
      </w:pPr>
      <w:r>
        <w:rPr>
          <w:i w:val="false"/>
          <w:caps w:val="false"/>
          <w:smallCaps w:val="false"/>
          <w:color w:val="00000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bookmarkStart w:id="8" w:name="Section3"/>
      <w:bookmarkEnd w:id="8"/>
      <w:r>
        <w:rPr>
          <w:rFonts w:ascii="Times New Roman" w:hAnsi="Times New Roman"/>
          <w:b/>
          <w:color w:val="000000"/>
          <w:sz w:val="20"/>
        </w:rPr>
        <w:t>FREENOME HOLDINGS,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Condensed Consolidated Statements of Operations (unaudited)</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(in thousands, except share and per share amounts)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 w:name="z57c11c67b1974eed91c4aafc1a712a0b"/>
      <w:bookmarkStart w:id="10" w:name="z57c11c67b1974eed91c4aafc1a712a0b"/>
      <w:bookmarkEnd w:id="10"/>
    </w:p>
    <w:tbl>
      <w:tblPr>
        <w:tblW w:w="10205" w:type="dxa"/>
        <w:jc w:val="left"/>
        <w:tblInd w:w="0" w:type="dxa"/>
        <w:tblLayout w:type="fixed"/>
        <w:tblCellMar>
          <w:top w:w="0" w:type="dxa"/>
          <w:left w:w="0" w:type="dxa"/>
          <w:bottom w:w="0" w:type="dxa"/>
          <w:right w:w="0" w:type="dxa"/>
        </w:tblCellMar>
      </w:tblPr>
      <w:tblGrid>
        <w:gridCol w:w="4285"/>
        <w:gridCol w:w="60"/>
        <w:gridCol w:w="153"/>
        <w:gridCol w:w="1202"/>
        <w:gridCol w:w="103"/>
        <w:gridCol w:w="65"/>
        <w:gridCol w:w="153"/>
        <w:gridCol w:w="1202"/>
        <w:gridCol w:w="95"/>
        <w:gridCol w:w="60"/>
        <w:gridCol w:w="145"/>
        <w:gridCol w:w="1139"/>
        <w:gridCol w:w="98"/>
        <w:gridCol w:w="62"/>
        <w:gridCol w:w="145"/>
        <w:gridCol w:w="1139"/>
        <w:gridCol w:w="99"/>
      </w:tblGrid>
      <w:tr>
        <w:trPr/>
        <w:tc>
          <w:tcPr>
            <w:tcW w:w="4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78" w:type="dxa"/>
            <w:gridSpan w:val="6"/>
            <w:tcBorders/>
            <w:vAlign w:val="bottom"/>
          </w:tcPr>
          <w:p>
            <w:pPr>
              <w:pStyle w:val="TableContents"/>
              <w:bidi w:val="0"/>
              <w:spacing w:before="0" w:after="0"/>
              <w:jc w:val="center"/>
              <w:rPr>
                <w:b/>
                <w:color w:val="000000"/>
              </w:rPr>
            </w:pPr>
            <w:r>
              <w:rPr>
                <w:b/>
                <w:color w:val="000000"/>
              </w:rPr>
              <w:t>Three Months Ended June 30,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28" w:type="dxa"/>
            <w:gridSpan w:val="6"/>
            <w:tcBorders/>
            <w:vAlign w:val="bottom"/>
          </w:tcPr>
          <w:p>
            <w:pPr>
              <w:pStyle w:val="TableContents"/>
              <w:bidi w:val="0"/>
              <w:spacing w:before="0" w:after="0"/>
              <w:jc w:val="center"/>
              <w:rPr>
                <w:b/>
                <w:color w:val="000000"/>
              </w:rPr>
            </w:pPr>
            <w:r>
              <w:rPr>
                <w:b/>
                <w:color w:val="000000"/>
              </w:rPr>
              <w:t>Six Months Ended June 30,</w:t>
            </w:r>
          </w:p>
        </w:tc>
        <w:tc>
          <w:tcPr>
            <w:tcW w:w="99" w:type="dxa"/>
            <w:tcBorders/>
            <w:vAlign w:val="bottom"/>
          </w:tcPr>
          <w:p>
            <w:pPr>
              <w:pStyle w:val="TableContents"/>
              <w:bidi w:val="0"/>
              <w:spacing w:before="0" w:after="283"/>
              <w:jc w:val="left"/>
              <w:rPr/>
            </w:pPr>
            <w:r>
              <w:rPr/>
              <w:t> </w:t>
            </w:r>
          </w:p>
        </w:tc>
      </w:tr>
      <w:tr>
        <w:trPr/>
        <w:tc>
          <w:tcPr>
            <w:tcW w:w="4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10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98"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28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99" w:type="dxa"/>
            <w:tcBorders/>
            <w:vAlign w:val="bottom"/>
          </w:tcPr>
          <w:p>
            <w:pPr>
              <w:pStyle w:val="TableContents"/>
              <w:bidi w:val="0"/>
              <w:spacing w:before="0" w:after="283"/>
              <w:jc w:val="left"/>
              <w:rPr/>
            </w:pPr>
            <w:r>
              <w:rPr/>
              <w:t> </w:t>
            </w:r>
          </w:p>
        </w:tc>
      </w:tr>
      <w:tr>
        <w:trPr/>
        <w:tc>
          <w:tcPr>
            <w:tcW w:w="4285" w:type="dxa"/>
            <w:tcBorders/>
            <w:vAlign w:val="bottom"/>
          </w:tcPr>
          <w:p>
            <w:pPr>
              <w:pStyle w:val="TableContents"/>
              <w:bidi w:val="0"/>
              <w:spacing w:before="0" w:after="0"/>
              <w:ind w:left="144" w:right="0" w:hanging="144"/>
              <w:jc w:val="left"/>
              <w:rPr>
                <w:color w:val="000000"/>
              </w:rPr>
            </w:pPr>
            <w:r>
              <w:rPr>
                <w:color w:val="000000"/>
              </w:rPr>
              <w:t>Revenue:</w:t>
            </w:r>
          </w:p>
        </w:tc>
        <w:tc>
          <w:tcPr>
            <w:tcW w:w="60" w:type="dxa"/>
            <w:tcBorders/>
            <w:vAlign w:val="bottom"/>
          </w:tcPr>
          <w:p>
            <w:pPr>
              <w:pStyle w:val="TableContents"/>
              <w:bidi w:val="0"/>
              <w:spacing w:before="0" w:after="283"/>
              <w:jc w:val="left"/>
              <w:rPr/>
            </w:pPr>
            <w:r>
              <w:rPr/>
              <w:t> </w:t>
            </w:r>
          </w:p>
        </w:tc>
        <w:tc>
          <w:tcPr>
            <w:tcW w:w="1355" w:type="dxa"/>
            <w:gridSpan w:val="2"/>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35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4" w:type="dxa"/>
            <w:gridSpan w:val="2"/>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284" w:type="dxa"/>
            <w:gridSpan w:val="2"/>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r>
      <w:tr>
        <w:trPr/>
        <w:tc>
          <w:tcPr>
            <w:tcW w:w="4285" w:type="dxa"/>
            <w:tcBorders/>
            <w:shd w:fill="CCEEFF" w:val="clear"/>
            <w:vAlign w:val="bottom"/>
          </w:tcPr>
          <w:p>
            <w:pPr>
              <w:pStyle w:val="TableContents"/>
              <w:bidi w:val="0"/>
              <w:spacing w:before="0" w:after="0"/>
              <w:ind w:left="324" w:right="0" w:hanging="144"/>
              <w:jc w:val="left"/>
              <w:rPr>
                <w:color w:val="000000"/>
              </w:rPr>
            </w:pPr>
            <w:r>
              <w:rPr>
                <w:color w:val="000000"/>
              </w:rPr>
              <w:t>License and collaboration revenue</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0"/>
              <w:jc w:val="left"/>
              <w:rPr>
                <w:color w:val="000000"/>
              </w:rPr>
            </w:pPr>
            <w:r>
              <w:rPr>
                <w:color w:val="000000"/>
              </w:rPr>
              <w:t>$</w:t>
            </w:r>
          </w:p>
        </w:tc>
        <w:tc>
          <w:tcPr>
            <w:tcW w:w="1202" w:type="dxa"/>
            <w:tcBorders/>
            <w:shd w:fill="CCEEFF" w:val="clear"/>
            <w:vAlign w:val="bottom"/>
          </w:tcPr>
          <w:p>
            <w:pPr>
              <w:pStyle w:val="TableContents"/>
              <w:bidi w:val="0"/>
              <w:spacing w:before="0" w:after="0"/>
              <w:jc w:val="right"/>
              <w:rPr>
                <w:color w:val="000000"/>
              </w:rPr>
            </w:pPr>
            <w:r>
              <w:rPr>
                <w:color w:val="000000"/>
              </w:rPr>
              <w:t>1,465</w:t>
            </w:r>
          </w:p>
        </w:tc>
        <w:tc>
          <w:tcPr>
            <w:tcW w:w="103"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0"/>
              <w:jc w:val="left"/>
              <w:rPr>
                <w:color w:val="000000"/>
              </w:rPr>
            </w:pPr>
            <w:r>
              <w:rPr>
                <w:color w:val="000000"/>
              </w:rPr>
              <w:t>$</w:t>
            </w:r>
          </w:p>
        </w:tc>
        <w:tc>
          <w:tcPr>
            <w:tcW w:w="1202"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0"/>
              <w:jc w:val="left"/>
              <w:rPr>
                <w:color w:val="000000"/>
              </w:rPr>
            </w:pPr>
            <w:r>
              <w:rPr>
                <w:color w:val="000000"/>
              </w:rPr>
              <w:t>$</w:t>
            </w:r>
          </w:p>
        </w:tc>
        <w:tc>
          <w:tcPr>
            <w:tcW w:w="1139" w:type="dxa"/>
            <w:tcBorders/>
            <w:shd w:fill="CCEEFF" w:val="clear"/>
            <w:vAlign w:val="bottom"/>
          </w:tcPr>
          <w:p>
            <w:pPr>
              <w:pStyle w:val="TableContents"/>
              <w:bidi w:val="0"/>
              <w:spacing w:before="0" w:after="0"/>
              <w:jc w:val="right"/>
              <w:rPr>
                <w:color w:val="000000"/>
              </w:rPr>
            </w:pPr>
            <w:r>
              <w:rPr>
                <w:color w:val="000000"/>
              </w:rPr>
              <w:t>5,155</w:t>
            </w:r>
          </w:p>
        </w:tc>
        <w:tc>
          <w:tcPr>
            <w:tcW w:w="98"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0"/>
              <w:jc w:val="left"/>
              <w:rPr>
                <w:color w:val="000000"/>
              </w:rPr>
            </w:pPr>
            <w:r>
              <w:rPr>
                <w:color w:val="000000"/>
              </w:rPr>
              <w:t>$</w:t>
            </w:r>
          </w:p>
        </w:tc>
        <w:tc>
          <w:tcPr>
            <w:tcW w:w="1139" w:type="dxa"/>
            <w:tcBorders/>
            <w:shd w:fill="CCEEFF" w:val="clear"/>
            <w:vAlign w:val="bottom"/>
          </w:tcPr>
          <w:p>
            <w:pPr>
              <w:pStyle w:val="TableContents"/>
              <w:bidi w:val="0"/>
              <w:spacing w:before="0" w:after="0"/>
              <w:jc w:val="right"/>
              <w:rPr>
                <w:color w:val="000000"/>
              </w:rPr>
            </w:pPr>
            <w:r>
              <w:rPr>
                <w:color w:val="000000"/>
              </w:rPr>
              <w:t>—</w:t>
            </w:r>
          </w:p>
        </w:tc>
        <w:tc>
          <w:tcPr>
            <w:tcW w:w="99" w:type="dxa"/>
            <w:tcBorders/>
            <w:shd w:fill="CCEEFF" w:val="clear"/>
            <w:vAlign w:val="bottom"/>
          </w:tcPr>
          <w:p>
            <w:pPr>
              <w:pStyle w:val="TableContents"/>
              <w:bidi w:val="0"/>
              <w:spacing w:before="0" w:after="283"/>
              <w:jc w:val="left"/>
              <w:rPr/>
            </w:pPr>
            <w:r>
              <w:rPr/>
              <w:t> </w:t>
            </w:r>
          </w:p>
        </w:tc>
      </w:tr>
      <w:tr>
        <w:trPr/>
        <w:tc>
          <w:tcPr>
            <w:tcW w:w="4285" w:type="dxa"/>
            <w:tcBorders/>
            <w:vAlign w:val="bottom"/>
          </w:tcPr>
          <w:p>
            <w:pPr>
              <w:pStyle w:val="TableContents"/>
              <w:bidi w:val="0"/>
              <w:spacing w:before="0" w:after="0"/>
              <w:ind w:left="324" w:right="0" w:hanging="144"/>
              <w:jc w:val="left"/>
              <w:rPr>
                <w:color w:val="000000"/>
              </w:rPr>
            </w:pPr>
            <w:r>
              <w:rPr>
                <w:color w:val="000000"/>
              </w:rPr>
              <w:t>Service and other revenue</w:t>
            </w:r>
          </w:p>
        </w:tc>
        <w:tc>
          <w:tcPr>
            <w:tcW w:w="60" w:type="dxa"/>
            <w:tcBorders/>
            <w:vAlign w:val="bottom"/>
          </w:tcPr>
          <w:p>
            <w:pPr>
              <w:pStyle w:val="TableContents"/>
              <w:bidi w:val="0"/>
              <w:spacing w:before="0" w:after="283"/>
              <w:jc w:val="left"/>
              <w:rPr/>
            </w:pPr>
            <w:r>
              <w:rPr/>
              <w:t> </w:t>
            </w:r>
          </w:p>
        </w:tc>
        <w:tc>
          <w:tcPr>
            <w:tcW w:w="153" w:type="dxa"/>
            <w:tcBorders>
              <w:bottom w:val="single" w:sz="12" w:space="0" w:color="000000"/>
            </w:tcBorders>
            <w:tcMar>
              <w:bottom w:w="28" w:type="dxa"/>
            </w:tcMar>
            <w:vAlign w:val="bottom"/>
          </w:tcPr>
          <w:p>
            <w:pPr>
              <w:pStyle w:val="TableContents"/>
              <w:bidi w:val="0"/>
              <w:spacing w:before="0" w:after="283"/>
              <w:jc w:val="left"/>
              <w:rPr/>
            </w:pPr>
            <w:r>
              <w:rPr/>
              <w:t> </w:t>
            </w:r>
          </w:p>
        </w:tc>
        <w:tc>
          <w:tcPr>
            <w:tcW w:w="120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809</w:t>
            </w:r>
          </w:p>
        </w:tc>
        <w:tc>
          <w:tcPr>
            <w:tcW w:w="10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53" w:type="dxa"/>
            <w:tcBorders>
              <w:bottom w:val="single" w:sz="12" w:space="0" w:color="000000"/>
            </w:tcBorders>
            <w:tcMar>
              <w:bottom w:w="28" w:type="dxa"/>
            </w:tcMar>
            <w:vAlign w:val="bottom"/>
          </w:tcPr>
          <w:p>
            <w:pPr>
              <w:pStyle w:val="TableContents"/>
              <w:bidi w:val="0"/>
              <w:spacing w:before="0" w:after="283"/>
              <w:jc w:val="left"/>
              <w:rPr/>
            </w:pPr>
            <w:r>
              <w:rPr/>
              <w:t> </w:t>
            </w:r>
          </w:p>
        </w:tc>
        <w:tc>
          <w:tcPr>
            <w:tcW w:w="120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1,101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1,341</w:t>
            </w:r>
          </w:p>
        </w:tc>
        <w:tc>
          <w:tcPr>
            <w:tcW w:w="98"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1,495</w:t>
            </w:r>
          </w:p>
        </w:tc>
        <w:tc>
          <w:tcPr>
            <w:tcW w:w="99" w:type="dxa"/>
            <w:tcBorders/>
            <w:vAlign w:val="bottom"/>
          </w:tcPr>
          <w:p>
            <w:pPr>
              <w:pStyle w:val="TableContents"/>
              <w:bidi w:val="0"/>
              <w:spacing w:before="0" w:after="283"/>
              <w:jc w:val="left"/>
              <w:rPr/>
            </w:pPr>
            <w:r>
              <w:rPr/>
              <w:t> </w:t>
            </w:r>
          </w:p>
        </w:tc>
      </w:tr>
      <w:tr>
        <w:trPr/>
        <w:tc>
          <w:tcPr>
            <w:tcW w:w="4285" w:type="dxa"/>
            <w:tcBorders/>
            <w:shd w:fill="CCEEFF" w:val="clear"/>
            <w:vAlign w:val="bottom"/>
          </w:tcPr>
          <w:p>
            <w:pPr>
              <w:pStyle w:val="TableContents"/>
              <w:bidi w:val="0"/>
              <w:spacing w:before="0" w:after="0"/>
              <w:ind w:left="504" w:right="0" w:hanging="144"/>
              <w:jc w:val="left"/>
              <w:rPr>
                <w:color w:val="000000"/>
              </w:rPr>
            </w:pPr>
            <w:r>
              <w:rPr>
                <w:color w:val="000000"/>
              </w:rPr>
              <w:t>Total revenue</w:t>
            </w:r>
          </w:p>
        </w:tc>
        <w:tc>
          <w:tcPr>
            <w:tcW w:w="60" w:type="dxa"/>
            <w:tcBorders/>
            <w:shd w:fill="CCEEFF" w:val="clear"/>
            <w:vAlign w:val="bottom"/>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0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2,274</w:t>
            </w:r>
          </w:p>
        </w:tc>
        <w:tc>
          <w:tcPr>
            <w:tcW w:w="103"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0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1,101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6,496</w:t>
            </w:r>
          </w:p>
        </w:tc>
        <w:tc>
          <w:tcPr>
            <w:tcW w:w="98"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1,495</w:t>
            </w:r>
          </w:p>
        </w:tc>
        <w:tc>
          <w:tcPr>
            <w:tcW w:w="99" w:type="dxa"/>
            <w:tcBorders/>
            <w:shd w:fill="CCEEFF" w:val="clear"/>
            <w:vAlign w:val="bottom"/>
          </w:tcPr>
          <w:p>
            <w:pPr>
              <w:pStyle w:val="TableContents"/>
              <w:bidi w:val="0"/>
              <w:spacing w:before="0" w:after="283"/>
              <w:jc w:val="left"/>
              <w:rPr/>
            </w:pPr>
            <w:r>
              <w:rPr/>
              <w:t> </w:t>
            </w:r>
          </w:p>
        </w:tc>
      </w:tr>
      <w:tr>
        <w:trPr/>
        <w:tc>
          <w:tcPr>
            <w:tcW w:w="4285" w:type="dxa"/>
            <w:tcBorders/>
            <w:vAlign w:val="bottom"/>
          </w:tcPr>
          <w:p>
            <w:pPr>
              <w:pStyle w:val="TableContents"/>
              <w:bidi w:val="0"/>
              <w:spacing w:before="0" w:after="0"/>
              <w:ind w:left="144" w:right="0" w:hanging="144"/>
              <w:jc w:val="left"/>
              <w:rPr>
                <w:color w:val="000000"/>
              </w:rPr>
            </w:pPr>
            <w:r>
              <w:rPr>
                <w:color w:val="000000"/>
              </w:rPr>
              <w:t>Operating costs and expenses:</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 </w:t>
            </w:r>
          </w:p>
        </w:tc>
        <w:tc>
          <w:tcPr>
            <w:tcW w:w="10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pPr>
            <w:r>
              <w:rPr/>
              <w:t> </w:t>
            </w:r>
          </w:p>
        </w:tc>
        <w:tc>
          <w:tcPr>
            <w:tcW w:w="98"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pPr>
            <w:r>
              <w:rPr/>
              <w:t> </w:t>
            </w:r>
          </w:p>
        </w:tc>
        <w:tc>
          <w:tcPr>
            <w:tcW w:w="99" w:type="dxa"/>
            <w:tcBorders/>
            <w:vAlign w:val="bottom"/>
          </w:tcPr>
          <w:p>
            <w:pPr>
              <w:pStyle w:val="TableContents"/>
              <w:bidi w:val="0"/>
              <w:spacing w:before="0" w:after="283"/>
              <w:jc w:val="left"/>
              <w:rPr/>
            </w:pPr>
            <w:r>
              <w:rPr/>
              <w:t> </w:t>
            </w:r>
          </w:p>
        </w:tc>
      </w:tr>
      <w:tr>
        <w:trPr/>
        <w:tc>
          <w:tcPr>
            <w:tcW w:w="4285" w:type="dxa"/>
            <w:tcBorders/>
            <w:shd w:fill="CCEEFF" w:val="clear"/>
            <w:vAlign w:val="bottom"/>
          </w:tcPr>
          <w:p>
            <w:pPr>
              <w:pStyle w:val="TableContents"/>
              <w:bidi w:val="0"/>
              <w:spacing w:before="0" w:after="0"/>
              <w:ind w:left="324" w:right="0" w:hanging="144"/>
              <w:jc w:val="left"/>
              <w:rPr>
                <w:color w:val="000000"/>
              </w:rPr>
            </w:pPr>
            <w:r>
              <w:rPr>
                <w:color w:val="000000"/>
              </w:rPr>
              <w:t>Cost of services</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0"/>
              <w:jc w:val="right"/>
              <w:rPr>
                <w:color w:val="000000"/>
              </w:rPr>
            </w:pPr>
            <w:r>
              <w:rPr>
                <w:color w:val="000000"/>
              </w:rPr>
              <w:t>497</w:t>
            </w:r>
          </w:p>
        </w:tc>
        <w:tc>
          <w:tcPr>
            <w:tcW w:w="103"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0"/>
              <w:jc w:val="right"/>
              <w:rPr>
                <w:color w:val="000000"/>
              </w:rPr>
            </w:pPr>
            <w:r>
              <w:rPr>
                <w:color w:val="000000"/>
              </w:rPr>
              <w:t>509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0"/>
              <w:jc w:val="right"/>
              <w:rPr>
                <w:color w:val="000000"/>
              </w:rPr>
            </w:pPr>
            <w:r>
              <w:rPr>
                <w:color w:val="000000"/>
              </w:rPr>
              <w:t>937</w:t>
            </w:r>
          </w:p>
        </w:tc>
        <w:tc>
          <w:tcPr>
            <w:tcW w:w="98"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0"/>
              <w:jc w:val="right"/>
              <w:rPr>
                <w:color w:val="000000"/>
              </w:rPr>
            </w:pPr>
            <w:r>
              <w:rPr>
                <w:color w:val="000000"/>
              </w:rPr>
              <w:t>884</w:t>
            </w:r>
          </w:p>
        </w:tc>
        <w:tc>
          <w:tcPr>
            <w:tcW w:w="99" w:type="dxa"/>
            <w:tcBorders/>
            <w:shd w:fill="CCEEFF" w:val="clear"/>
            <w:vAlign w:val="bottom"/>
          </w:tcPr>
          <w:p>
            <w:pPr>
              <w:pStyle w:val="TableContents"/>
              <w:bidi w:val="0"/>
              <w:spacing w:before="0" w:after="283"/>
              <w:jc w:val="left"/>
              <w:rPr/>
            </w:pPr>
            <w:r>
              <w:rPr/>
              <w:t> </w:t>
            </w:r>
          </w:p>
        </w:tc>
      </w:tr>
      <w:tr>
        <w:trPr/>
        <w:tc>
          <w:tcPr>
            <w:tcW w:w="4285" w:type="dxa"/>
            <w:tcBorders/>
            <w:vAlign w:val="bottom"/>
          </w:tcPr>
          <w:p>
            <w:pPr>
              <w:pStyle w:val="TableContents"/>
              <w:bidi w:val="0"/>
              <w:spacing w:before="0" w:after="0"/>
              <w:ind w:left="324" w:right="0" w:hanging="144"/>
              <w:jc w:val="left"/>
              <w:rPr>
                <w:color w:val="000000"/>
              </w:rPr>
            </w:pPr>
            <w:r>
              <w:rPr>
                <w:color w:val="000000"/>
              </w:rPr>
              <w:t>Research and development</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0"/>
              <w:jc w:val="right"/>
              <w:rPr>
                <w:color w:val="000000"/>
              </w:rPr>
            </w:pPr>
            <w:r>
              <w:rPr>
                <w:color w:val="000000"/>
              </w:rPr>
              <w:t>54,273</w:t>
            </w:r>
          </w:p>
        </w:tc>
        <w:tc>
          <w:tcPr>
            <w:tcW w:w="10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0"/>
              <w:jc w:val="right"/>
              <w:rPr>
                <w:color w:val="000000"/>
              </w:rPr>
            </w:pPr>
            <w:r>
              <w:rPr>
                <w:color w:val="000000"/>
              </w:rPr>
              <w:t>47,057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0"/>
              <w:jc w:val="right"/>
              <w:rPr>
                <w:color w:val="000000"/>
              </w:rPr>
            </w:pPr>
            <w:r>
              <w:rPr>
                <w:color w:val="000000"/>
              </w:rPr>
              <w:t>106,387</w:t>
            </w:r>
          </w:p>
        </w:tc>
        <w:tc>
          <w:tcPr>
            <w:tcW w:w="98"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0"/>
              <w:jc w:val="right"/>
              <w:rPr>
                <w:color w:val="000000"/>
              </w:rPr>
            </w:pPr>
            <w:r>
              <w:rPr>
                <w:color w:val="000000"/>
              </w:rPr>
              <w:t>94,865</w:t>
            </w:r>
          </w:p>
        </w:tc>
        <w:tc>
          <w:tcPr>
            <w:tcW w:w="99" w:type="dxa"/>
            <w:tcBorders/>
            <w:vAlign w:val="bottom"/>
          </w:tcPr>
          <w:p>
            <w:pPr>
              <w:pStyle w:val="TableContents"/>
              <w:bidi w:val="0"/>
              <w:spacing w:before="0" w:after="283"/>
              <w:jc w:val="left"/>
              <w:rPr/>
            </w:pPr>
            <w:r>
              <w:rPr/>
              <w:t> </w:t>
            </w:r>
          </w:p>
        </w:tc>
      </w:tr>
      <w:tr>
        <w:trPr/>
        <w:tc>
          <w:tcPr>
            <w:tcW w:w="4285" w:type="dxa"/>
            <w:tcBorders/>
            <w:shd w:fill="CCEEFF" w:val="clear"/>
            <w:vAlign w:val="bottom"/>
          </w:tcPr>
          <w:p>
            <w:pPr>
              <w:pStyle w:val="TableContents"/>
              <w:bidi w:val="0"/>
              <w:spacing w:before="0" w:after="0"/>
              <w:ind w:left="324" w:right="0" w:hanging="144"/>
              <w:jc w:val="left"/>
              <w:rPr>
                <w:color w:val="000000"/>
              </w:rPr>
            </w:pPr>
            <w:r>
              <w:rPr>
                <w:color w:val="000000"/>
              </w:rPr>
              <w:t>General and administrative</w:t>
            </w:r>
          </w:p>
        </w:tc>
        <w:tc>
          <w:tcPr>
            <w:tcW w:w="60" w:type="dxa"/>
            <w:tcBorders/>
            <w:shd w:fill="CCEEFF" w:val="clear"/>
            <w:vAlign w:val="bottom"/>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0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12,711</w:t>
            </w:r>
          </w:p>
        </w:tc>
        <w:tc>
          <w:tcPr>
            <w:tcW w:w="103"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0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13,723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26,624</w:t>
            </w:r>
          </w:p>
        </w:tc>
        <w:tc>
          <w:tcPr>
            <w:tcW w:w="98"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26,008</w:t>
            </w:r>
          </w:p>
        </w:tc>
        <w:tc>
          <w:tcPr>
            <w:tcW w:w="99" w:type="dxa"/>
            <w:tcBorders/>
            <w:shd w:fill="CCEEFF" w:val="clear"/>
            <w:vAlign w:val="bottom"/>
          </w:tcPr>
          <w:p>
            <w:pPr>
              <w:pStyle w:val="TableContents"/>
              <w:bidi w:val="0"/>
              <w:spacing w:before="0" w:after="283"/>
              <w:jc w:val="left"/>
              <w:rPr/>
            </w:pPr>
            <w:r>
              <w:rPr/>
              <w:t> </w:t>
            </w:r>
          </w:p>
        </w:tc>
      </w:tr>
      <w:tr>
        <w:trPr/>
        <w:tc>
          <w:tcPr>
            <w:tcW w:w="4285" w:type="dxa"/>
            <w:tcBorders/>
            <w:vAlign w:val="bottom"/>
          </w:tcPr>
          <w:p>
            <w:pPr>
              <w:pStyle w:val="TableContents"/>
              <w:bidi w:val="0"/>
              <w:spacing w:before="0" w:after="0"/>
              <w:ind w:left="504" w:right="0" w:hanging="144"/>
              <w:jc w:val="left"/>
              <w:rPr>
                <w:color w:val="000000"/>
              </w:rPr>
            </w:pPr>
            <w:r>
              <w:rPr>
                <w:color w:val="000000"/>
              </w:rPr>
              <w:t>Total operating costs and expenses</w:t>
            </w:r>
          </w:p>
        </w:tc>
        <w:tc>
          <w:tcPr>
            <w:tcW w:w="60" w:type="dxa"/>
            <w:tcBorders/>
            <w:vAlign w:val="bottom"/>
          </w:tcPr>
          <w:p>
            <w:pPr>
              <w:pStyle w:val="TableContents"/>
              <w:bidi w:val="0"/>
              <w:spacing w:before="0" w:after="283"/>
              <w:jc w:val="left"/>
              <w:rPr/>
            </w:pPr>
            <w:r>
              <w:rPr/>
              <w:t> </w:t>
            </w:r>
          </w:p>
        </w:tc>
        <w:tc>
          <w:tcPr>
            <w:tcW w:w="153" w:type="dxa"/>
            <w:tcBorders>
              <w:bottom w:val="single" w:sz="12" w:space="0" w:color="000000"/>
            </w:tcBorders>
            <w:tcMar>
              <w:bottom w:w="28" w:type="dxa"/>
            </w:tcMar>
            <w:vAlign w:val="bottom"/>
          </w:tcPr>
          <w:p>
            <w:pPr>
              <w:pStyle w:val="TableContents"/>
              <w:bidi w:val="0"/>
              <w:spacing w:before="0" w:after="283"/>
              <w:jc w:val="left"/>
              <w:rPr/>
            </w:pPr>
            <w:r>
              <w:rPr/>
              <w:t> </w:t>
            </w:r>
          </w:p>
        </w:tc>
        <w:tc>
          <w:tcPr>
            <w:tcW w:w="120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67,481</w:t>
            </w:r>
          </w:p>
        </w:tc>
        <w:tc>
          <w:tcPr>
            <w:tcW w:w="10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53" w:type="dxa"/>
            <w:tcBorders>
              <w:bottom w:val="single" w:sz="12" w:space="0" w:color="000000"/>
            </w:tcBorders>
            <w:tcMar>
              <w:bottom w:w="28" w:type="dxa"/>
            </w:tcMar>
            <w:vAlign w:val="bottom"/>
          </w:tcPr>
          <w:p>
            <w:pPr>
              <w:pStyle w:val="TableContents"/>
              <w:bidi w:val="0"/>
              <w:spacing w:before="0" w:after="283"/>
              <w:jc w:val="left"/>
              <w:rPr/>
            </w:pPr>
            <w:r>
              <w:rPr/>
              <w:t> </w:t>
            </w:r>
          </w:p>
        </w:tc>
        <w:tc>
          <w:tcPr>
            <w:tcW w:w="120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61,289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133,948</w:t>
            </w:r>
          </w:p>
        </w:tc>
        <w:tc>
          <w:tcPr>
            <w:tcW w:w="98"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121,757</w:t>
            </w:r>
          </w:p>
        </w:tc>
        <w:tc>
          <w:tcPr>
            <w:tcW w:w="99" w:type="dxa"/>
            <w:tcBorders/>
            <w:vAlign w:val="bottom"/>
          </w:tcPr>
          <w:p>
            <w:pPr>
              <w:pStyle w:val="TableContents"/>
              <w:bidi w:val="0"/>
              <w:spacing w:before="0" w:after="283"/>
              <w:jc w:val="left"/>
              <w:rPr/>
            </w:pPr>
            <w:r>
              <w:rPr/>
              <w:t> </w:t>
            </w:r>
          </w:p>
        </w:tc>
      </w:tr>
      <w:tr>
        <w:trPr/>
        <w:tc>
          <w:tcPr>
            <w:tcW w:w="4285" w:type="dxa"/>
            <w:tcBorders/>
            <w:shd w:fill="CCEEFF" w:val="clear"/>
            <w:vAlign w:val="bottom"/>
          </w:tcPr>
          <w:p>
            <w:pPr>
              <w:pStyle w:val="TableContents"/>
              <w:bidi w:val="0"/>
              <w:spacing w:before="0" w:after="0"/>
              <w:ind w:left="144" w:right="0" w:hanging="144"/>
              <w:jc w:val="left"/>
              <w:rPr>
                <w:color w:val="000000"/>
              </w:rPr>
            </w:pPr>
            <w:r>
              <w:rPr>
                <w:color w:val="000000"/>
              </w:rPr>
              <w:t>Loss from operations</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0"/>
              <w:jc w:val="right"/>
              <w:rPr>
                <w:color w:val="000000"/>
              </w:rPr>
            </w:pPr>
            <w:r>
              <w:rPr>
                <w:color w:val="000000"/>
              </w:rPr>
              <w:t>(65,207</w:t>
            </w:r>
          </w:p>
        </w:tc>
        <w:tc>
          <w:tcPr>
            <w:tcW w:w="103" w:type="dxa"/>
            <w:tcBorders/>
            <w:shd w:fill="CCEEFF" w:val="clear"/>
            <w:vAlign w:val="bottom"/>
          </w:tcPr>
          <w:p>
            <w:pPr>
              <w:pStyle w:val="TableContents"/>
              <w:bidi w:val="0"/>
              <w:spacing w:before="0" w:after="0"/>
              <w:jc w:val="left"/>
              <w:rPr>
                <w:color w:val="000000"/>
              </w:rPr>
            </w:pPr>
            <w:r>
              <w:rPr>
                <w:color w:val="000000"/>
              </w:rPr>
              <w:t>)</w:t>
            </w:r>
          </w:p>
        </w:tc>
        <w:tc>
          <w:tcPr>
            <w:tcW w:w="6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0"/>
              <w:jc w:val="right"/>
              <w:rPr>
                <w:color w:val="000000"/>
              </w:rPr>
            </w:pPr>
            <w:r>
              <w:rPr>
                <w:color w:val="000000"/>
              </w:rPr>
              <w:t>(60,188</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0"/>
              <w:jc w:val="right"/>
              <w:rPr>
                <w:color w:val="000000"/>
              </w:rPr>
            </w:pPr>
            <w:r>
              <w:rPr>
                <w:color w:val="000000"/>
              </w:rPr>
              <w:t>(127,452</w:t>
            </w:r>
          </w:p>
        </w:tc>
        <w:tc>
          <w:tcPr>
            <w:tcW w:w="98" w:type="dxa"/>
            <w:tcBorders/>
            <w:shd w:fill="CCEEFF" w:val="clear"/>
            <w:vAlign w:val="bottom"/>
          </w:tcPr>
          <w:p>
            <w:pPr>
              <w:pStyle w:val="TableContents"/>
              <w:bidi w:val="0"/>
              <w:spacing w:before="0" w:after="0"/>
              <w:jc w:val="left"/>
              <w:rPr>
                <w:color w:val="000000"/>
              </w:rPr>
            </w:pPr>
            <w:r>
              <w:rPr>
                <w:color w:val="000000"/>
              </w:rPr>
              <w:t>)</w:t>
            </w:r>
          </w:p>
        </w:tc>
        <w:tc>
          <w:tcPr>
            <w:tcW w:w="6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0"/>
              <w:jc w:val="right"/>
              <w:rPr>
                <w:color w:val="000000"/>
              </w:rPr>
            </w:pPr>
            <w:r>
              <w:rPr>
                <w:color w:val="000000"/>
              </w:rPr>
              <w:t>(120,262</w:t>
            </w:r>
          </w:p>
        </w:tc>
        <w:tc>
          <w:tcPr>
            <w:tcW w:w="99" w:type="dxa"/>
            <w:tcBorders/>
            <w:shd w:fill="CCEEFF" w:val="clear"/>
            <w:vAlign w:val="bottom"/>
          </w:tcPr>
          <w:p>
            <w:pPr>
              <w:pStyle w:val="TableContents"/>
              <w:bidi w:val="0"/>
              <w:spacing w:before="0" w:after="0"/>
              <w:jc w:val="left"/>
              <w:rPr>
                <w:color w:val="000000"/>
              </w:rPr>
            </w:pPr>
            <w:r>
              <w:rPr>
                <w:color w:val="000000"/>
              </w:rPr>
              <w:t>)</w:t>
            </w:r>
          </w:p>
        </w:tc>
      </w:tr>
      <w:tr>
        <w:trPr/>
        <w:tc>
          <w:tcPr>
            <w:tcW w:w="4285" w:type="dxa"/>
            <w:tcBorders/>
            <w:vAlign w:val="bottom"/>
          </w:tcPr>
          <w:p>
            <w:pPr>
              <w:pStyle w:val="TableContents"/>
              <w:bidi w:val="0"/>
              <w:spacing w:before="0" w:after="0"/>
              <w:ind w:left="144" w:right="0" w:hanging="144"/>
              <w:jc w:val="left"/>
              <w:rPr>
                <w:color w:val="000000"/>
              </w:rPr>
            </w:pPr>
            <w:r>
              <w:rPr>
                <w:color w:val="000000"/>
              </w:rPr>
              <w:t>Other income (expense), net:</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 </w:t>
            </w:r>
          </w:p>
        </w:tc>
        <w:tc>
          <w:tcPr>
            <w:tcW w:w="10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pPr>
            <w:r>
              <w:rPr/>
              <w:t> </w:t>
            </w:r>
          </w:p>
        </w:tc>
        <w:tc>
          <w:tcPr>
            <w:tcW w:w="98"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pPr>
            <w:r>
              <w:rPr/>
              <w:t> </w:t>
            </w:r>
          </w:p>
        </w:tc>
        <w:tc>
          <w:tcPr>
            <w:tcW w:w="99" w:type="dxa"/>
            <w:tcBorders/>
            <w:vAlign w:val="bottom"/>
          </w:tcPr>
          <w:p>
            <w:pPr>
              <w:pStyle w:val="TableContents"/>
              <w:bidi w:val="0"/>
              <w:spacing w:before="0" w:after="283"/>
              <w:jc w:val="left"/>
              <w:rPr/>
            </w:pPr>
            <w:r>
              <w:rPr/>
              <w:t> </w:t>
            </w:r>
          </w:p>
        </w:tc>
      </w:tr>
      <w:tr>
        <w:trPr/>
        <w:tc>
          <w:tcPr>
            <w:tcW w:w="4285" w:type="dxa"/>
            <w:tcBorders/>
            <w:shd w:fill="CCEEFF" w:val="clear"/>
            <w:vAlign w:val="bottom"/>
          </w:tcPr>
          <w:p>
            <w:pPr>
              <w:pStyle w:val="TableContents"/>
              <w:bidi w:val="0"/>
              <w:spacing w:before="0" w:after="0"/>
              <w:ind w:left="324" w:right="0" w:hanging="144"/>
              <w:jc w:val="left"/>
              <w:rPr>
                <w:color w:val="000000"/>
              </w:rPr>
            </w:pPr>
            <w:r>
              <w:rPr>
                <w:color w:val="000000"/>
              </w:rPr>
              <w:t>Interest and investment income, net</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0"/>
              <w:jc w:val="right"/>
              <w:rPr>
                <w:color w:val="000000"/>
              </w:rPr>
            </w:pPr>
            <w:r>
              <w:rPr>
                <w:color w:val="000000"/>
              </w:rPr>
              <w:t>1,038</w:t>
            </w:r>
          </w:p>
        </w:tc>
        <w:tc>
          <w:tcPr>
            <w:tcW w:w="103"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0"/>
              <w:jc w:val="right"/>
              <w:rPr>
                <w:color w:val="000000"/>
              </w:rPr>
            </w:pPr>
            <w:r>
              <w:rPr>
                <w:color w:val="000000"/>
              </w:rPr>
              <w:t>1,514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0"/>
              <w:jc w:val="right"/>
              <w:rPr>
                <w:color w:val="000000"/>
              </w:rPr>
            </w:pPr>
            <w:r>
              <w:rPr>
                <w:color w:val="000000"/>
              </w:rPr>
              <w:t>2,729</w:t>
            </w:r>
          </w:p>
        </w:tc>
        <w:tc>
          <w:tcPr>
            <w:tcW w:w="98"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0"/>
              <w:jc w:val="right"/>
              <w:rPr>
                <w:color w:val="000000"/>
              </w:rPr>
            </w:pPr>
            <w:r>
              <w:rPr>
                <w:color w:val="000000"/>
              </w:rPr>
              <w:t>3,717</w:t>
            </w:r>
          </w:p>
        </w:tc>
        <w:tc>
          <w:tcPr>
            <w:tcW w:w="99" w:type="dxa"/>
            <w:tcBorders/>
            <w:shd w:fill="CCEEFF" w:val="clear"/>
            <w:vAlign w:val="bottom"/>
          </w:tcPr>
          <w:p>
            <w:pPr>
              <w:pStyle w:val="TableContents"/>
              <w:bidi w:val="0"/>
              <w:spacing w:before="0" w:after="283"/>
              <w:jc w:val="left"/>
              <w:rPr/>
            </w:pPr>
            <w:r>
              <w:rPr/>
              <w:t> </w:t>
            </w:r>
          </w:p>
        </w:tc>
      </w:tr>
      <w:tr>
        <w:trPr/>
        <w:tc>
          <w:tcPr>
            <w:tcW w:w="4285" w:type="dxa"/>
            <w:tcBorders/>
            <w:vAlign w:val="bottom"/>
          </w:tcPr>
          <w:p>
            <w:pPr>
              <w:pStyle w:val="TableContents"/>
              <w:bidi w:val="0"/>
              <w:spacing w:before="0" w:after="0"/>
              <w:ind w:left="324" w:right="0" w:hanging="144"/>
              <w:jc w:val="left"/>
              <w:rPr>
                <w:color w:val="000000"/>
              </w:rPr>
            </w:pPr>
            <w:r>
              <w:rPr>
                <w:color w:val="000000"/>
              </w:rPr>
              <w:t>Interest expense</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0"/>
              <w:jc w:val="right"/>
              <w:rPr>
                <w:color w:val="000000"/>
              </w:rPr>
            </w:pPr>
            <w:r>
              <w:rPr>
                <w:color w:val="000000"/>
              </w:rPr>
              <w:t>(4,859</w:t>
            </w:r>
          </w:p>
        </w:tc>
        <w:tc>
          <w:tcPr>
            <w:tcW w:w="103" w:type="dxa"/>
            <w:tcBorders/>
            <w:vAlign w:val="bottom"/>
          </w:tcPr>
          <w:p>
            <w:pPr>
              <w:pStyle w:val="TableContents"/>
              <w:bidi w:val="0"/>
              <w:spacing w:before="0" w:after="0"/>
              <w:jc w:val="left"/>
              <w:rPr>
                <w:color w:val="000000"/>
              </w:rPr>
            </w:pPr>
            <w:r>
              <w:rPr>
                <w:color w:val="000000"/>
              </w:rPr>
              <w:t>)</w:t>
            </w:r>
          </w:p>
        </w:tc>
        <w:tc>
          <w:tcPr>
            <w:tcW w:w="6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0"/>
              <w:jc w:val="right"/>
              <w:rPr>
                <w:color w:val="000000"/>
              </w:rPr>
            </w:pPr>
            <w:r>
              <w:rPr>
                <w:color w:val="000000"/>
              </w:rPr>
              <w:t>(1</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0"/>
              <w:jc w:val="right"/>
              <w:rPr>
                <w:color w:val="000000"/>
              </w:rPr>
            </w:pPr>
            <w:r>
              <w:rPr>
                <w:color w:val="000000"/>
              </w:rPr>
              <w:t>(7,863</w:t>
            </w:r>
          </w:p>
        </w:tc>
        <w:tc>
          <w:tcPr>
            <w:tcW w:w="98" w:type="dxa"/>
            <w:tcBorders/>
            <w:vAlign w:val="bottom"/>
          </w:tcPr>
          <w:p>
            <w:pPr>
              <w:pStyle w:val="TableContents"/>
              <w:bidi w:val="0"/>
              <w:spacing w:before="0" w:after="0"/>
              <w:jc w:val="left"/>
              <w:rPr>
                <w:color w:val="000000"/>
              </w:rPr>
            </w:pPr>
            <w:r>
              <w:rPr>
                <w:color w:val="000000"/>
              </w:rPr>
              <w:t>)</w:t>
            </w:r>
          </w:p>
        </w:tc>
        <w:tc>
          <w:tcPr>
            <w:tcW w:w="6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0"/>
              <w:jc w:val="right"/>
              <w:rPr>
                <w:color w:val="000000"/>
              </w:rPr>
            </w:pPr>
            <w:r>
              <w:rPr>
                <w:color w:val="000000"/>
              </w:rPr>
              <w:t>(3</w:t>
            </w:r>
          </w:p>
        </w:tc>
        <w:tc>
          <w:tcPr>
            <w:tcW w:w="99" w:type="dxa"/>
            <w:tcBorders/>
            <w:vAlign w:val="bottom"/>
          </w:tcPr>
          <w:p>
            <w:pPr>
              <w:pStyle w:val="TableContents"/>
              <w:bidi w:val="0"/>
              <w:spacing w:before="0" w:after="0"/>
              <w:jc w:val="left"/>
              <w:rPr>
                <w:color w:val="000000"/>
              </w:rPr>
            </w:pPr>
            <w:r>
              <w:rPr>
                <w:color w:val="000000"/>
              </w:rPr>
              <w:t>)</w:t>
            </w:r>
          </w:p>
        </w:tc>
      </w:tr>
      <w:tr>
        <w:trPr/>
        <w:tc>
          <w:tcPr>
            <w:tcW w:w="4285" w:type="dxa"/>
            <w:tcBorders/>
            <w:shd w:fill="CCEEFF" w:val="clear"/>
            <w:vAlign w:val="bottom"/>
          </w:tcPr>
          <w:p>
            <w:pPr>
              <w:pStyle w:val="TableContents"/>
              <w:bidi w:val="0"/>
              <w:spacing w:before="0" w:after="0"/>
              <w:ind w:left="324" w:right="0" w:hanging="144"/>
              <w:jc w:val="left"/>
              <w:rPr>
                <w:color w:val="000000"/>
              </w:rPr>
            </w:pPr>
            <w:r>
              <w:rPr>
                <w:color w:val="000000"/>
              </w:rPr>
              <w:t>Other (expense), net</w:t>
            </w:r>
          </w:p>
        </w:tc>
        <w:tc>
          <w:tcPr>
            <w:tcW w:w="60" w:type="dxa"/>
            <w:tcBorders/>
            <w:shd w:fill="CCEEFF" w:val="clear"/>
            <w:vAlign w:val="bottom"/>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0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w:t>
            </w:r>
          </w:p>
        </w:tc>
        <w:tc>
          <w:tcPr>
            <w:tcW w:w="103" w:type="dxa"/>
            <w:tcBorders/>
            <w:shd w:fill="CCEEFF" w:val="clear"/>
            <w:vAlign w:val="bottom"/>
          </w:tcPr>
          <w:p>
            <w:pPr>
              <w:pStyle w:val="TableContents"/>
              <w:bidi w:val="0"/>
              <w:spacing w:before="0" w:after="0"/>
              <w:jc w:val="left"/>
              <w:rPr>
                <w:color w:val="000000"/>
              </w:rPr>
            </w:pPr>
            <w:r>
              <w:rPr>
                <w:color w:val="000000"/>
              </w:rPr>
              <w:t>)</w:t>
            </w:r>
          </w:p>
        </w:tc>
        <w:tc>
          <w:tcPr>
            <w:tcW w:w="65" w:type="dxa"/>
            <w:tcBorders/>
            <w:shd w:fill="CCEEFF" w:val="clear"/>
            <w:vAlign w:val="bottom"/>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0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(56</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w:t>
            </w:r>
          </w:p>
        </w:tc>
        <w:tc>
          <w:tcPr>
            <w:tcW w:w="98" w:type="dxa"/>
            <w:tcBorders/>
            <w:shd w:fill="CCEEFF" w:val="clear"/>
            <w:vAlign w:val="bottom"/>
          </w:tcPr>
          <w:p>
            <w:pPr>
              <w:pStyle w:val="TableContents"/>
              <w:bidi w:val="0"/>
              <w:spacing w:before="0" w:after="0"/>
              <w:jc w:val="left"/>
              <w:rPr>
                <w:color w:val="000000"/>
              </w:rPr>
            </w:pPr>
            <w:r>
              <w:rPr>
                <w:color w:val="000000"/>
              </w:rPr>
              <w:t>)</w:t>
            </w:r>
          </w:p>
        </w:tc>
        <w:tc>
          <w:tcPr>
            <w:tcW w:w="62" w:type="dxa"/>
            <w:tcBorders/>
            <w:shd w:fill="CCEEFF" w:val="clear"/>
            <w:vAlign w:val="bottom"/>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(57</w:t>
            </w:r>
          </w:p>
        </w:tc>
        <w:tc>
          <w:tcPr>
            <w:tcW w:w="99" w:type="dxa"/>
            <w:tcBorders/>
            <w:shd w:fill="CCEEFF" w:val="clear"/>
            <w:vAlign w:val="bottom"/>
          </w:tcPr>
          <w:p>
            <w:pPr>
              <w:pStyle w:val="TableContents"/>
              <w:bidi w:val="0"/>
              <w:spacing w:before="0" w:after="0"/>
              <w:jc w:val="left"/>
              <w:rPr>
                <w:color w:val="000000"/>
              </w:rPr>
            </w:pPr>
            <w:r>
              <w:rPr>
                <w:color w:val="000000"/>
              </w:rPr>
              <w:t>)</w:t>
            </w:r>
          </w:p>
        </w:tc>
      </w:tr>
      <w:tr>
        <w:trPr/>
        <w:tc>
          <w:tcPr>
            <w:tcW w:w="4285" w:type="dxa"/>
            <w:tcBorders/>
            <w:vAlign w:val="bottom"/>
          </w:tcPr>
          <w:p>
            <w:pPr>
              <w:pStyle w:val="TableContents"/>
              <w:bidi w:val="0"/>
              <w:spacing w:before="0" w:after="0"/>
              <w:ind w:left="144" w:right="0" w:hanging="144"/>
              <w:jc w:val="left"/>
              <w:rPr>
                <w:color w:val="000000"/>
              </w:rPr>
            </w:pPr>
            <w:r>
              <w:rPr>
                <w:color w:val="000000"/>
              </w:rPr>
              <w:t>Net loss</w:t>
            </w:r>
          </w:p>
        </w:tc>
        <w:tc>
          <w:tcPr>
            <w:tcW w:w="60" w:type="dxa"/>
            <w:tcBorders/>
            <w:vAlign w:val="bottom"/>
          </w:tcPr>
          <w:p>
            <w:pPr>
              <w:pStyle w:val="TableContents"/>
              <w:bidi w:val="0"/>
              <w:spacing w:before="0" w:after="283"/>
              <w:jc w:val="left"/>
              <w:rPr/>
            </w:pPr>
            <w:r>
              <w:rPr/>
              <w:t> </w:t>
            </w:r>
          </w:p>
        </w:tc>
        <w:tc>
          <w:tcPr>
            <w:tcW w:w="153"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202"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(69,029</w:t>
            </w:r>
          </w:p>
        </w:tc>
        <w:tc>
          <w:tcPr>
            <w:tcW w:w="103" w:type="dxa"/>
            <w:tcBorders/>
            <w:vAlign w:val="bottom"/>
          </w:tcPr>
          <w:p>
            <w:pPr>
              <w:pStyle w:val="TableContents"/>
              <w:bidi w:val="0"/>
              <w:spacing w:before="0" w:after="0"/>
              <w:jc w:val="left"/>
              <w:rPr>
                <w:color w:val="000000"/>
              </w:rPr>
            </w:pPr>
            <w:r>
              <w:rPr>
                <w:color w:val="000000"/>
              </w:rPr>
              <w:t>)</w:t>
            </w:r>
          </w:p>
        </w:tc>
        <w:tc>
          <w:tcPr>
            <w:tcW w:w="65" w:type="dxa"/>
            <w:tcBorders/>
            <w:vAlign w:val="bottom"/>
          </w:tcPr>
          <w:p>
            <w:pPr>
              <w:pStyle w:val="TableContents"/>
              <w:bidi w:val="0"/>
              <w:spacing w:before="0" w:after="283"/>
              <w:jc w:val="left"/>
              <w:rPr/>
            </w:pPr>
            <w:r>
              <w:rPr/>
              <w:t> </w:t>
            </w:r>
          </w:p>
        </w:tc>
        <w:tc>
          <w:tcPr>
            <w:tcW w:w="153"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202"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(58,731</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5"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13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(132,588</w:t>
            </w:r>
          </w:p>
        </w:tc>
        <w:tc>
          <w:tcPr>
            <w:tcW w:w="98" w:type="dxa"/>
            <w:tcBorders/>
            <w:vAlign w:val="bottom"/>
          </w:tcPr>
          <w:p>
            <w:pPr>
              <w:pStyle w:val="TableContents"/>
              <w:bidi w:val="0"/>
              <w:spacing w:before="0" w:after="0"/>
              <w:jc w:val="left"/>
              <w:rPr>
                <w:color w:val="000000"/>
              </w:rPr>
            </w:pPr>
            <w:r>
              <w:rPr>
                <w:color w:val="000000"/>
              </w:rPr>
              <w:t>)</w:t>
            </w:r>
          </w:p>
        </w:tc>
        <w:tc>
          <w:tcPr>
            <w:tcW w:w="62" w:type="dxa"/>
            <w:tcBorders/>
            <w:vAlign w:val="bottom"/>
          </w:tcPr>
          <w:p>
            <w:pPr>
              <w:pStyle w:val="TableContents"/>
              <w:bidi w:val="0"/>
              <w:spacing w:before="0" w:after="283"/>
              <w:jc w:val="left"/>
              <w:rPr/>
            </w:pPr>
            <w:r>
              <w:rPr/>
              <w:t> </w:t>
            </w:r>
          </w:p>
        </w:tc>
        <w:tc>
          <w:tcPr>
            <w:tcW w:w="145"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13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(116,605</w:t>
            </w:r>
          </w:p>
        </w:tc>
        <w:tc>
          <w:tcPr>
            <w:tcW w:w="99" w:type="dxa"/>
            <w:tcBorders/>
            <w:vAlign w:val="bottom"/>
          </w:tcPr>
          <w:p>
            <w:pPr>
              <w:pStyle w:val="TableContents"/>
              <w:bidi w:val="0"/>
              <w:spacing w:before="0" w:after="0"/>
              <w:jc w:val="left"/>
              <w:rPr>
                <w:color w:val="000000"/>
              </w:rPr>
            </w:pPr>
            <w:r>
              <w:rPr>
                <w:color w:val="000000"/>
              </w:rPr>
              <w:t>)</w:t>
            </w:r>
          </w:p>
        </w:tc>
      </w:tr>
      <w:tr>
        <w:trPr/>
        <w:tc>
          <w:tcPr>
            <w:tcW w:w="4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 </w:t>
            </w:r>
          </w:p>
        </w:tc>
        <w:tc>
          <w:tcPr>
            <w:tcW w:w="103"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pPr>
            <w:r>
              <w:rPr/>
              <w:t> </w:t>
            </w:r>
          </w:p>
        </w:tc>
        <w:tc>
          <w:tcPr>
            <w:tcW w:w="98"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pPr>
            <w:r>
              <w:rPr/>
              <w:t> </w:t>
            </w:r>
          </w:p>
        </w:tc>
        <w:tc>
          <w:tcPr>
            <w:tcW w:w="99" w:type="dxa"/>
            <w:tcBorders/>
            <w:shd w:fill="CCEEFF" w:val="clear"/>
            <w:vAlign w:val="bottom"/>
          </w:tcPr>
          <w:p>
            <w:pPr>
              <w:pStyle w:val="TableContents"/>
              <w:bidi w:val="0"/>
              <w:spacing w:before="0" w:after="283"/>
              <w:jc w:val="left"/>
              <w:rPr/>
            </w:pPr>
            <w:r>
              <w:rPr/>
              <w:t> </w:t>
            </w:r>
          </w:p>
        </w:tc>
      </w:tr>
      <w:tr>
        <w:trPr/>
        <w:tc>
          <w:tcPr>
            <w:tcW w:w="4285" w:type="dxa"/>
            <w:tcBorders/>
            <w:vAlign w:val="bottom"/>
          </w:tcPr>
          <w:p>
            <w:pPr>
              <w:pStyle w:val="TableContents"/>
              <w:bidi w:val="0"/>
              <w:spacing w:before="0" w:after="0"/>
              <w:ind w:left="144" w:right="0" w:hanging="144"/>
              <w:jc w:val="left"/>
              <w:rPr>
                <w:color w:val="000000"/>
              </w:rPr>
            </w:pPr>
            <w:r>
              <w:rPr>
                <w:color w:val="000000"/>
              </w:rPr>
              <w:t>Net loss per share attributable to common stockholders, basic and diluted</w:t>
            </w:r>
          </w:p>
        </w:tc>
        <w:tc>
          <w:tcPr>
            <w:tcW w:w="60" w:type="dxa"/>
            <w:tcBorders/>
            <w:vAlign w:val="bottom"/>
          </w:tcPr>
          <w:p>
            <w:pPr>
              <w:pStyle w:val="TableContents"/>
              <w:bidi w:val="0"/>
              <w:spacing w:before="0" w:after="283"/>
              <w:jc w:val="left"/>
              <w:rPr/>
            </w:pPr>
            <w:r>
              <w:rPr/>
              <w:t> </w:t>
            </w:r>
          </w:p>
        </w:tc>
        <w:tc>
          <w:tcPr>
            <w:tcW w:w="153"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202"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(2.59</w:t>
            </w:r>
          </w:p>
        </w:tc>
        <w:tc>
          <w:tcPr>
            <w:tcW w:w="103" w:type="dxa"/>
            <w:tcBorders/>
            <w:vAlign w:val="bottom"/>
          </w:tcPr>
          <w:p>
            <w:pPr>
              <w:pStyle w:val="TableContents"/>
              <w:bidi w:val="0"/>
              <w:spacing w:before="0" w:after="0"/>
              <w:jc w:val="left"/>
              <w:rPr>
                <w:color w:val="000000"/>
              </w:rPr>
            </w:pPr>
            <w:r>
              <w:rPr>
                <w:color w:val="000000"/>
              </w:rPr>
              <w:t>)</w:t>
            </w:r>
          </w:p>
        </w:tc>
        <w:tc>
          <w:tcPr>
            <w:tcW w:w="65" w:type="dxa"/>
            <w:tcBorders/>
            <w:vAlign w:val="bottom"/>
          </w:tcPr>
          <w:p>
            <w:pPr>
              <w:pStyle w:val="TableContents"/>
              <w:bidi w:val="0"/>
              <w:spacing w:before="0" w:after="283"/>
              <w:jc w:val="left"/>
              <w:rPr/>
            </w:pPr>
            <w:r>
              <w:rPr/>
              <w:t> </w:t>
            </w:r>
          </w:p>
        </w:tc>
        <w:tc>
          <w:tcPr>
            <w:tcW w:w="153"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202"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(2.22</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5"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13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(4.97</w:t>
            </w:r>
          </w:p>
        </w:tc>
        <w:tc>
          <w:tcPr>
            <w:tcW w:w="98" w:type="dxa"/>
            <w:tcBorders/>
            <w:vAlign w:val="bottom"/>
          </w:tcPr>
          <w:p>
            <w:pPr>
              <w:pStyle w:val="TableContents"/>
              <w:bidi w:val="0"/>
              <w:spacing w:before="0" w:after="0"/>
              <w:jc w:val="left"/>
              <w:rPr>
                <w:color w:val="000000"/>
              </w:rPr>
            </w:pPr>
            <w:r>
              <w:rPr>
                <w:color w:val="000000"/>
              </w:rPr>
              <w:t>)</w:t>
            </w:r>
          </w:p>
        </w:tc>
        <w:tc>
          <w:tcPr>
            <w:tcW w:w="62" w:type="dxa"/>
            <w:tcBorders/>
            <w:vAlign w:val="bottom"/>
          </w:tcPr>
          <w:p>
            <w:pPr>
              <w:pStyle w:val="TableContents"/>
              <w:bidi w:val="0"/>
              <w:spacing w:before="0" w:after="283"/>
              <w:jc w:val="left"/>
              <w:rPr/>
            </w:pPr>
            <w:r>
              <w:rPr/>
              <w:t> </w:t>
            </w:r>
          </w:p>
        </w:tc>
        <w:tc>
          <w:tcPr>
            <w:tcW w:w="145"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13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(4.41</w:t>
            </w:r>
          </w:p>
        </w:tc>
        <w:tc>
          <w:tcPr>
            <w:tcW w:w="99" w:type="dxa"/>
            <w:tcBorders/>
            <w:vAlign w:val="bottom"/>
          </w:tcPr>
          <w:p>
            <w:pPr>
              <w:pStyle w:val="TableContents"/>
              <w:bidi w:val="0"/>
              <w:spacing w:before="0" w:after="0"/>
              <w:jc w:val="left"/>
              <w:rPr>
                <w:color w:val="000000"/>
              </w:rPr>
            </w:pPr>
            <w:r>
              <w:rPr>
                <w:color w:val="000000"/>
              </w:rPr>
              <w:t>)</w:t>
            </w:r>
          </w:p>
        </w:tc>
      </w:tr>
      <w:tr>
        <w:trPr/>
        <w:tc>
          <w:tcPr>
            <w:tcW w:w="4285" w:type="dxa"/>
            <w:tcBorders/>
            <w:shd w:fill="CCEEFF" w:val="clear"/>
            <w:vAlign w:val="bottom"/>
          </w:tcPr>
          <w:p>
            <w:pPr>
              <w:pStyle w:val="TableContents"/>
              <w:bidi w:val="0"/>
              <w:spacing w:before="0" w:after="0"/>
              <w:ind w:left="144" w:right="0" w:hanging="144"/>
              <w:jc w:val="left"/>
              <w:rPr>
                <w:color w:val="000000"/>
              </w:rPr>
            </w:pPr>
            <w:r>
              <w:rPr>
                <w:color w:val="000000"/>
              </w:rPr>
              <w:t>Weighted-average shares of common stock outstanding, basic and diluted</w:t>
            </w:r>
          </w:p>
        </w:tc>
        <w:tc>
          <w:tcPr>
            <w:tcW w:w="60" w:type="dxa"/>
            <w:tcBorders/>
            <w:shd w:fill="CCEEFF" w:val="clear"/>
            <w:vAlign w:val="bottom"/>
          </w:tcPr>
          <w:p>
            <w:pPr>
              <w:pStyle w:val="TableContents"/>
              <w:bidi w:val="0"/>
              <w:spacing w:before="0" w:after="283"/>
              <w:jc w:val="left"/>
              <w:rPr/>
            </w:pPr>
            <w:r>
              <w:rPr/>
              <w:t> </w:t>
            </w:r>
          </w:p>
        </w:tc>
        <w:tc>
          <w:tcPr>
            <w:tcW w:w="153"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202"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26,696,158</w:t>
            </w:r>
          </w:p>
        </w:tc>
        <w:tc>
          <w:tcPr>
            <w:tcW w:w="103"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53"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202"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26,439,086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13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26,696,158</w:t>
            </w:r>
          </w:p>
        </w:tc>
        <w:tc>
          <w:tcPr>
            <w:tcW w:w="98"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13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26,423,995</w:t>
            </w:r>
          </w:p>
        </w:tc>
        <w:tc>
          <w:tcPr>
            <w:tcW w:w="99"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0" w:after="0"/>
        <w:jc w:val="left"/>
        <w:rPr>
          <w:i w:val="false"/>
          <w:caps w:val="false"/>
          <w:smallCaps w:val="false"/>
          <w:color w:val="000000"/>
        </w:rPr>
      </w:pPr>
      <w:r>
        <w:rPr>
          <w:i w:val="false"/>
          <w:caps w:val="false"/>
          <w:smallCaps w:val="false"/>
          <w:color w:val="00000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bookmarkStart w:id="11" w:name="Section4"/>
      <w:bookmarkEnd w:id="11"/>
      <w:r>
        <w:rPr>
          <w:rFonts w:ascii="Times New Roman" w:hAnsi="Times New Roman"/>
          <w:b/>
          <w:color w:val="000000"/>
          <w:sz w:val="20"/>
        </w:rPr>
        <w:t>FREENOME HOLDINGS,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Condensed Consolidated Statements of Comprehensive Loss (unaudited)</w:t>
      </w:r>
    </w:p>
    <w:p>
      <w:pPr>
        <w:pStyle w:val="TextBody"/>
        <w:bidi w:val="0"/>
        <w:spacing w:before="0" w:after="0"/>
        <w:jc w:val="center"/>
        <w:rPr>
          <w:rFonts w:ascii="Times New Roman" w:hAnsi="Times New Roman"/>
          <w:color w:val="000000"/>
          <w:sz w:val="20"/>
        </w:rPr>
      </w:pPr>
      <w:r>
        <w:rPr>
          <w:rFonts w:ascii="Times New Roman" w:hAnsi="Times New Roman"/>
          <w:b/>
          <w:color w:val="000000"/>
          <w:sz w:val="20"/>
        </w:rPr>
        <w:t>(</w:t>
      </w:r>
      <w:r>
        <w:rPr>
          <w:rFonts w:ascii="Times New Roman" w:hAnsi="Times New Roman"/>
          <w:color w:val="000000"/>
          <w:sz w:val="20"/>
        </w:rPr>
        <w:t>in thousands</w:t>
      </w:r>
      <w:r>
        <w:rPr>
          <w:rFonts w:ascii="Times New Roman" w:hAnsi="Times New Roman"/>
          <w:b/>
          <w:color w:val="000000"/>
          <w:sz w:val="20"/>
        </w:rPr>
        <w: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 w:name="z5415beadfae5418d9b8d49acf1f6b86d"/>
      <w:bookmarkStart w:id="13" w:name="z5415beadfae5418d9b8d49acf1f6b86d"/>
      <w:bookmarkEnd w:id="13"/>
    </w:p>
    <w:tbl>
      <w:tblPr>
        <w:tblW w:w="10205" w:type="dxa"/>
        <w:jc w:val="left"/>
        <w:tblInd w:w="0" w:type="dxa"/>
        <w:tblLayout w:type="fixed"/>
        <w:tblCellMar>
          <w:top w:w="0" w:type="dxa"/>
          <w:left w:w="0" w:type="dxa"/>
          <w:bottom w:w="0" w:type="dxa"/>
          <w:right w:w="0" w:type="dxa"/>
        </w:tblCellMar>
      </w:tblPr>
      <w:tblGrid>
        <w:gridCol w:w="4304"/>
        <w:gridCol w:w="60"/>
        <w:gridCol w:w="207"/>
        <w:gridCol w:w="1123"/>
        <w:gridCol w:w="140"/>
        <w:gridCol w:w="88"/>
        <w:gridCol w:w="207"/>
        <w:gridCol w:w="1123"/>
        <w:gridCol w:w="95"/>
        <w:gridCol w:w="60"/>
        <w:gridCol w:w="172"/>
        <w:gridCol w:w="1080"/>
        <w:gridCol w:w="116"/>
        <w:gridCol w:w="73"/>
        <w:gridCol w:w="172"/>
        <w:gridCol w:w="1080"/>
        <w:gridCol w:w="105"/>
      </w:tblGrid>
      <w:tr>
        <w:trPr/>
        <w:tc>
          <w:tcPr>
            <w:tcW w:w="43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88"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Months Ended June 30,</w:t>
            </w:r>
          </w:p>
        </w:tc>
        <w:tc>
          <w:tcPr>
            <w:tcW w:w="9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2693"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Six Months Ended June 30,</w:t>
            </w:r>
          </w:p>
        </w:tc>
        <w:tc>
          <w:tcPr>
            <w:tcW w:w="105" w:type="dxa"/>
            <w:tcBorders/>
            <w:vAlign w:val="bottom"/>
          </w:tcPr>
          <w:p>
            <w:pPr>
              <w:pStyle w:val="TableContents"/>
              <w:bidi w:val="0"/>
              <w:spacing w:before="0" w:after="283"/>
              <w:jc w:val="left"/>
              <w:rPr/>
            </w:pPr>
            <w:r>
              <w:rPr/>
              <w:t> </w:t>
            </w:r>
          </w:p>
        </w:tc>
      </w:tr>
      <w:tr>
        <w:trPr/>
        <w:tc>
          <w:tcPr>
            <w:tcW w:w="43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3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14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33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2"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116"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52"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05" w:type="dxa"/>
            <w:tcBorders/>
            <w:vAlign w:val="bottom"/>
          </w:tcPr>
          <w:p>
            <w:pPr>
              <w:pStyle w:val="TableContents"/>
              <w:bidi w:val="0"/>
              <w:spacing w:before="0" w:after="283"/>
              <w:jc w:val="left"/>
              <w:rPr/>
            </w:pPr>
            <w:r>
              <w:rPr/>
              <w:t> </w:t>
            </w:r>
          </w:p>
        </w:tc>
      </w:tr>
      <w:tr>
        <w:trPr/>
        <w:tc>
          <w:tcPr>
            <w:tcW w:w="4304" w:type="dxa"/>
            <w:tcBorders/>
            <w:shd w:fill="CCEEFF" w:val="clear"/>
            <w:vAlign w:val="bottom"/>
          </w:tcPr>
          <w:p>
            <w:pPr>
              <w:pStyle w:val="TableContents"/>
              <w:bidi w:val="0"/>
              <w:spacing w:before="0" w:after="0"/>
              <w:jc w:val="left"/>
              <w:rPr>
                <w:color w:val="000000"/>
              </w:rPr>
            </w:pPr>
            <w:r>
              <w:rPr>
                <w:color w:val="000000"/>
              </w:rPr>
              <w:t>Net loss</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0"/>
              <w:jc w:val="left"/>
              <w:rPr>
                <w:color w:val="000000"/>
              </w:rPr>
            </w:pPr>
            <w:r>
              <w:rPr>
                <w:color w:val="000000"/>
              </w:rPr>
              <w:t>$</w:t>
            </w:r>
          </w:p>
        </w:tc>
        <w:tc>
          <w:tcPr>
            <w:tcW w:w="1123" w:type="dxa"/>
            <w:tcBorders/>
            <w:shd w:fill="CCEEFF" w:val="clear"/>
            <w:vAlign w:val="bottom"/>
          </w:tcPr>
          <w:p>
            <w:pPr>
              <w:pStyle w:val="TableContents"/>
              <w:bidi w:val="0"/>
              <w:spacing w:before="0" w:after="0"/>
              <w:jc w:val="right"/>
              <w:rPr>
                <w:color w:val="000000"/>
              </w:rPr>
            </w:pPr>
            <w:r>
              <w:rPr>
                <w:color w:val="000000"/>
              </w:rPr>
              <w:t>(69,029</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8"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0"/>
              <w:jc w:val="left"/>
              <w:rPr>
                <w:color w:val="000000"/>
              </w:rPr>
            </w:pPr>
            <w:r>
              <w:rPr>
                <w:color w:val="000000"/>
              </w:rPr>
              <w:t>$</w:t>
            </w:r>
          </w:p>
        </w:tc>
        <w:tc>
          <w:tcPr>
            <w:tcW w:w="1123" w:type="dxa"/>
            <w:tcBorders/>
            <w:shd w:fill="CCEEFF" w:val="clear"/>
            <w:vAlign w:val="bottom"/>
          </w:tcPr>
          <w:p>
            <w:pPr>
              <w:pStyle w:val="TableContents"/>
              <w:bidi w:val="0"/>
              <w:spacing w:before="0" w:after="0"/>
              <w:jc w:val="right"/>
              <w:rPr>
                <w:color w:val="000000"/>
              </w:rPr>
            </w:pPr>
            <w:r>
              <w:rPr>
                <w:color w:val="000000"/>
              </w:rPr>
              <w:t>(58,731</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0"/>
              <w:jc w:val="left"/>
              <w:rPr>
                <w:color w:val="000000"/>
              </w:rPr>
            </w:pPr>
            <w:r>
              <w:rPr>
                <w:color w:val="000000"/>
              </w:rPr>
              <w:t>$</w:t>
            </w:r>
          </w:p>
        </w:tc>
        <w:tc>
          <w:tcPr>
            <w:tcW w:w="1080" w:type="dxa"/>
            <w:tcBorders/>
            <w:shd w:fill="CCEEFF" w:val="clear"/>
            <w:vAlign w:val="bottom"/>
          </w:tcPr>
          <w:p>
            <w:pPr>
              <w:pStyle w:val="TableContents"/>
              <w:bidi w:val="0"/>
              <w:spacing w:before="0" w:after="0"/>
              <w:jc w:val="right"/>
              <w:rPr>
                <w:color w:val="000000"/>
              </w:rPr>
            </w:pPr>
            <w:r>
              <w:rPr>
                <w:color w:val="000000"/>
              </w:rPr>
              <w:t>(132,588</w:t>
            </w:r>
          </w:p>
        </w:tc>
        <w:tc>
          <w:tcPr>
            <w:tcW w:w="116" w:type="dxa"/>
            <w:tcBorders/>
            <w:shd w:fill="CCEEFF" w:val="clear"/>
            <w:vAlign w:val="bottom"/>
          </w:tcPr>
          <w:p>
            <w:pPr>
              <w:pStyle w:val="TableContents"/>
              <w:bidi w:val="0"/>
              <w:spacing w:before="0" w:after="0"/>
              <w:jc w:val="left"/>
              <w:rPr>
                <w:color w:val="000000"/>
              </w:rPr>
            </w:pPr>
            <w:r>
              <w:rPr>
                <w:color w:val="000000"/>
              </w:rPr>
              <w:t>)</w:t>
            </w:r>
          </w:p>
        </w:tc>
        <w:tc>
          <w:tcPr>
            <w:tcW w:w="7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0"/>
              <w:jc w:val="left"/>
              <w:rPr>
                <w:color w:val="000000"/>
              </w:rPr>
            </w:pPr>
            <w:r>
              <w:rPr>
                <w:color w:val="000000"/>
              </w:rPr>
              <w:t>$</w:t>
            </w:r>
          </w:p>
        </w:tc>
        <w:tc>
          <w:tcPr>
            <w:tcW w:w="1080" w:type="dxa"/>
            <w:tcBorders/>
            <w:shd w:fill="CCEEFF" w:val="clear"/>
            <w:vAlign w:val="bottom"/>
          </w:tcPr>
          <w:p>
            <w:pPr>
              <w:pStyle w:val="TableContents"/>
              <w:bidi w:val="0"/>
              <w:spacing w:before="0" w:after="0"/>
              <w:jc w:val="right"/>
              <w:rPr>
                <w:color w:val="000000"/>
              </w:rPr>
            </w:pPr>
            <w:r>
              <w:rPr>
                <w:color w:val="000000"/>
              </w:rPr>
              <w:t>(116,605</w:t>
            </w:r>
          </w:p>
        </w:tc>
        <w:tc>
          <w:tcPr>
            <w:tcW w:w="105" w:type="dxa"/>
            <w:tcBorders/>
            <w:shd w:fill="CCEEFF" w:val="clear"/>
            <w:vAlign w:val="bottom"/>
          </w:tcPr>
          <w:p>
            <w:pPr>
              <w:pStyle w:val="TableContents"/>
              <w:bidi w:val="0"/>
              <w:spacing w:before="0" w:after="0"/>
              <w:jc w:val="left"/>
              <w:rPr>
                <w:color w:val="000000"/>
              </w:rPr>
            </w:pPr>
            <w:r>
              <w:rPr>
                <w:color w:val="000000"/>
              </w:rPr>
              <w:t>)</w:t>
            </w:r>
          </w:p>
        </w:tc>
      </w:tr>
      <w:tr>
        <w:trPr/>
        <w:tc>
          <w:tcPr>
            <w:tcW w:w="4304" w:type="dxa"/>
            <w:tcBorders/>
            <w:vAlign w:val="bottom"/>
          </w:tcPr>
          <w:p>
            <w:pPr>
              <w:pStyle w:val="TableContents"/>
              <w:bidi w:val="0"/>
              <w:spacing w:before="0" w:after="0"/>
              <w:jc w:val="left"/>
              <w:rPr>
                <w:color w:val="000000"/>
              </w:rPr>
            </w:pPr>
            <w:r>
              <w:rPr>
                <w:color w:val="000000"/>
              </w:rPr>
              <w:t>Other comprehensive income (loss):</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 </w:t>
            </w:r>
          </w:p>
        </w:tc>
        <w:tc>
          <w:tcPr>
            <w:tcW w:w="116"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 </w:t>
            </w:r>
          </w:p>
        </w:tc>
        <w:tc>
          <w:tcPr>
            <w:tcW w:w="105" w:type="dxa"/>
            <w:tcBorders/>
            <w:vAlign w:val="bottom"/>
          </w:tcPr>
          <w:p>
            <w:pPr>
              <w:pStyle w:val="TableContents"/>
              <w:bidi w:val="0"/>
              <w:spacing w:before="0" w:after="283"/>
              <w:jc w:val="left"/>
              <w:rPr/>
            </w:pPr>
            <w:r>
              <w:rPr/>
              <w:t> </w:t>
            </w:r>
          </w:p>
        </w:tc>
      </w:tr>
      <w:tr>
        <w:trPr/>
        <w:tc>
          <w:tcPr>
            <w:tcW w:w="4304" w:type="dxa"/>
            <w:tcBorders/>
            <w:shd w:fill="CCEEFF" w:val="clear"/>
            <w:vAlign w:val="bottom"/>
          </w:tcPr>
          <w:p>
            <w:pPr>
              <w:pStyle w:val="TableContents"/>
              <w:bidi w:val="0"/>
              <w:spacing w:before="0" w:after="0"/>
              <w:ind w:left="180" w:right="0" w:hanging="0"/>
              <w:jc w:val="left"/>
              <w:rPr>
                <w:color w:val="000000"/>
              </w:rPr>
            </w:pPr>
            <w:r>
              <w:rPr>
                <w:color w:val="000000"/>
              </w:rPr>
              <w:t>Unrealized gain (loss) on available for-sale securities</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0"/>
              <w:jc w:val="right"/>
              <w:rPr>
                <w:color w:val="000000"/>
              </w:rPr>
            </w:pPr>
            <w:r>
              <w:rPr>
                <w:color w:val="000000"/>
              </w:rPr>
              <w:t>2</w:t>
            </w:r>
          </w:p>
        </w:tc>
        <w:tc>
          <w:tcPr>
            <w:tcW w:w="14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0"/>
              <w:jc w:val="right"/>
              <w:rPr>
                <w:color w:val="000000"/>
              </w:rPr>
            </w:pPr>
            <w:r>
              <w:rPr>
                <w:color w:val="000000"/>
              </w:rPr>
              <w:t>(5</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0"/>
              <w:jc w:val="right"/>
              <w:rPr>
                <w:color w:val="000000"/>
              </w:rPr>
            </w:pPr>
            <w:r>
              <w:rPr>
                <w:color w:val="000000"/>
              </w:rPr>
              <w:t>(85</w:t>
            </w:r>
          </w:p>
        </w:tc>
        <w:tc>
          <w:tcPr>
            <w:tcW w:w="116" w:type="dxa"/>
            <w:tcBorders/>
            <w:shd w:fill="CCEEFF" w:val="clear"/>
            <w:vAlign w:val="bottom"/>
          </w:tcPr>
          <w:p>
            <w:pPr>
              <w:pStyle w:val="TableContents"/>
              <w:bidi w:val="0"/>
              <w:spacing w:before="0" w:after="0"/>
              <w:jc w:val="left"/>
              <w:rPr>
                <w:color w:val="000000"/>
              </w:rPr>
            </w:pPr>
            <w:r>
              <w:rPr>
                <w:color w:val="000000"/>
              </w:rPr>
              <w:t>)</w:t>
            </w:r>
          </w:p>
        </w:tc>
        <w:tc>
          <w:tcPr>
            <w:tcW w:w="7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0"/>
              <w:jc w:val="right"/>
              <w:rPr>
                <w:color w:val="000000"/>
              </w:rPr>
            </w:pPr>
            <w:r>
              <w:rPr>
                <w:color w:val="000000"/>
              </w:rPr>
              <w:t>(87</w:t>
            </w:r>
          </w:p>
        </w:tc>
        <w:tc>
          <w:tcPr>
            <w:tcW w:w="105" w:type="dxa"/>
            <w:tcBorders/>
            <w:shd w:fill="CCEEFF" w:val="clear"/>
            <w:vAlign w:val="bottom"/>
          </w:tcPr>
          <w:p>
            <w:pPr>
              <w:pStyle w:val="TableContents"/>
              <w:bidi w:val="0"/>
              <w:spacing w:before="0" w:after="0"/>
              <w:jc w:val="left"/>
              <w:rPr>
                <w:color w:val="000000"/>
              </w:rPr>
            </w:pPr>
            <w:r>
              <w:rPr>
                <w:color w:val="000000"/>
              </w:rPr>
              <w:t>)</w:t>
            </w:r>
          </w:p>
        </w:tc>
      </w:tr>
      <w:tr>
        <w:trPr/>
        <w:tc>
          <w:tcPr>
            <w:tcW w:w="4304" w:type="dxa"/>
            <w:tcBorders/>
            <w:vAlign w:val="bottom"/>
          </w:tcPr>
          <w:p>
            <w:pPr>
              <w:pStyle w:val="TableContents"/>
              <w:bidi w:val="0"/>
              <w:spacing w:before="0" w:after="0"/>
              <w:ind w:left="180" w:right="0" w:hanging="0"/>
              <w:jc w:val="left"/>
              <w:rPr>
                <w:color w:val="000000"/>
              </w:rPr>
            </w:pPr>
            <w:r>
              <w:rPr>
                <w:color w:val="000000"/>
              </w:rPr>
              <w:t>Foreign currency translation adjustments</w:t>
            </w:r>
          </w:p>
        </w:tc>
        <w:tc>
          <w:tcPr>
            <w:tcW w:w="60" w:type="dxa"/>
            <w:tcBorders/>
            <w:vAlign w:val="bottom"/>
          </w:tcPr>
          <w:p>
            <w:pPr>
              <w:pStyle w:val="TableContents"/>
              <w:bidi w:val="0"/>
              <w:spacing w:before="0" w:after="283"/>
              <w:jc w:val="left"/>
              <w:rPr/>
            </w:pPr>
            <w:r>
              <w:rPr/>
              <w:t> </w:t>
            </w:r>
          </w:p>
        </w:tc>
        <w:tc>
          <w:tcPr>
            <w:tcW w:w="207" w:type="dxa"/>
            <w:tcBorders>
              <w:bottom w:val="single" w:sz="12" w:space="0" w:color="000000"/>
            </w:tcBorders>
            <w:tcMar>
              <w:bottom w:w="28" w:type="dxa"/>
            </w:tcMar>
            <w:vAlign w:val="bottom"/>
          </w:tcPr>
          <w:p>
            <w:pPr>
              <w:pStyle w:val="TableContents"/>
              <w:bidi w:val="0"/>
              <w:spacing w:before="0" w:after="283"/>
              <w:jc w:val="left"/>
              <w:rPr/>
            </w:pPr>
            <w:r>
              <w:rPr/>
              <w:t> </w:t>
            </w:r>
          </w:p>
        </w:tc>
        <w:tc>
          <w:tcPr>
            <w:tcW w:w="112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4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207" w:type="dxa"/>
            <w:tcBorders>
              <w:bottom w:val="single" w:sz="12" w:space="0" w:color="000000"/>
            </w:tcBorders>
            <w:tcMar>
              <w:bottom w:w="28" w:type="dxa"/>
            </w:tcMar>
            <w:vAlign w:val="bottom"/>
          </w:tcPr>
          <w:p>
            <w:pPr>
              <w:pStyle w:val="TableContents"/>
              <w:bidi w:val="0"/>
              <w:spacing w:before="0" w:after="283"/>
              <w:jc w:val="left"/>
              <w:rPr/>
            </w:pPr>
            <w:r>
              <w:rPr/>
              <w:t> </w:t>
            </w:r>
          </w:p>
        </w:tc>
        <w:tc>
          <w:tcPr>
            <w:tcW w:w="112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 w:type="dxa"/>
            <w:tcBorders>
              <w:bottom w:val="single" w:sz="12" w:space="0" w:color="000000"/>
            </w:tcBorders>
            <w:tcMar>
              <w:bottom w:w="28" w:type="dxa"/>
            </w:tcMar>
            <w:vAlign w:val="bottom"/>
          </w:tcPr>
          <w:p>
            <w:pPr>
              <w:pStyle w:val="TableContents"/>
              <w:bidi w:val="0"/>
              <w:spacing w:before="0" w:after="283"/>
              <w:jc w:val="left"/>
              <w:rPr/>
            </w:pPr>
            <w:r>
              <w:rPr/>
              <w:t> </w:t>
            </w:r>
          </w:p>
        </w:tc>
        <w:tc>
          <w:tcPr>
            <w:tcW w:w="10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(19</w:t>
            </w:r>
          </w:p>
        </w:tc>
        <w:tc>
          <w:tcPr>
            <w:tcW w:w="116" w:type="dxa"/>
            <w:tcBorders/>
            <w:vAlign w:val="bottom"/>
          </w:tcPr>
          <w:p>
            <w:pPr>
              <w:pStyle w:val="TableContents"/>
              <w:bidi w:val="0"/>
              <w:spacing w:before="0" w:after="0"/>
              <w:jc w:val="left"/>
              <w:rPr>
                <w:color w:val="000000"/>
              </w:rPr>
            </w:pPr>
            <w:r>
              <w:rPr>
                <w:color w:val="000000"/>
              </w:rPr>
              <w:t>)</w:t>
            </w:r>
          </w:p>
        </w:tc>
        <w:tc>
          <w:tcPr>
            <w:tcW w:w="73" w:type="dxa"/>
            <w:tcBorders/>
            <w:vAlign w:val="bottom"/>
          </w:tcPr>
          <w:p>
            <w:pPr>
              <w:pStyle w:val="TableContents"/>
              <w:bidi w:val="0"/>
              <w:spacing w:before="0" w:after="283"/>
              <w:jc w:val="left"/>
              <w:rPr/>
            </w:pPr>
            <w:r>
              <w:rPr/>
              <w:t> </w:t>
            </w:r>
          </w:p>
        </w:tc>
        <w:tc>
          <w:tcPr>
            <w:tcW w:w="172" w:type="dxa"/>
            <w:tcBorders>
              <w:bottom w:val="single" w:sz="12" w:space="0" w:color="000000"/>
            </w:tcBorders>
            <w:tcMar>
              <w:bottom w:w="28" w:type="dxa"/>
            </w:tcMar>
            <w:vAlign w:val="bottom"/>
          </w:tcPr>
          <w:p>
            <w:pPr>
              <w:pStyle w:val="TableContents"/>
              <w:bidi w:val="0"/>
              <w:spacing w:before="0" w:after="283"/>
              <w:jc w:val="left"/>
              <w:rPr/>
            </w:pPr>
            <w:r>
              <w:rPr/>
              <w:t> </w:t>
            </w:r>
          </w:p>
        </w:tc>
        <w:tc>
          <w:tcPr>
            <w:tcW w:w="10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64</w:t>
            </w:r>
          </w:p>
        </w:tc>
        <w:tc>
          <w:tcPr>
            <w:tcW w:w="105" w:type="dxa"/>
            <w:tcBorders/>
            <w:vAlign w:val="bottom"/>
          </w:tcPr>
          <w:p>
            <w:pPr>
              <w:pStyle w:val="TableContents"/>
              <w:bidi w:val="0"/>
              <w:spacing w:before="0" w:after="283"/>
              <w:jc w:val="left"/>
              <w:rPr/>
            </w:pPr>
            <w:r>
              <w:rPr/>
              <w:t> </w:t>
            </w:r>
          </w:p>
        </w:tc>
      </w:tr>
      <w:tr>
        <w:trPr/>
        <w:tc>
          <w:tcPr>
            <w:tcW w:w="4304" w:type="dxa"/>
            <w:tcBorders/>
            <w:shd w:fill="CCEEFF" w:val="clear"/>
            <w:vAlign w:val="bottom"/>
          </w:tcPr>
          <w:p>
            <w:pPr>
              <w:pStyle w:val="TableContents"/>
              <w:bidi w:val="0"/>
              <w:spacing w:before="0" w:after="0"/>
              <w:ind w:left="360" w:right="0" w:hanging="0"/>
              <w:jc w:val="left"/>
              <w:rPr>
                <w:color w:val="000000"/>
              </w:rPr>
            </w:pPr>
            <w:r>
              <w:rPr>
                <w:color w:val="000000"/>
              </w:rPr>
              <w:t>Other comprehensive income (loss)</w:t>
            </w:r>
          </w:p>
        </w:tc>
        <w:tc>
          <w:tcPr>
            <w:tcW w:w="60" w:type="dxa"/>
            <w:tcBorders/>
            <w:shd w:fill="CCEEFF" w:val="clear"/>
            <w:vAlign w:val="bottom"/>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2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w:t>
            </w:r>
          </w:p>
        </w:tc>
        <w:tc>
          <w:tcPr>
            <w:tcW w:w="14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2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(104</w:t>
            </w:r>
          </w:p>
        </w:tc>
        <w:tc>
          <w:tcPr>
            <w:tcW w:w="116" w:type="dxa"/>
            <w:tcBorders/>
            <w:shd w:fill="CCEEFF" w:val="clear"/>
            <w:vAlign w:val="bottom"/>
          </w:tcPr>
          <w:p>
            <w:pPr>
              <w:pStyle w:val="TableContents"/>
              <w:bidi w:val="0"/>
              <w:spacing w:before="0" w:after="0"/>
              <w:jc w:val="left"/>
              <w:rPr>
                <w:color w:val="000000"/>
              </w:rPr>
            </w:pPr>
            <w:r>
              <w:rPr>
                <w:color w:val="000000"/>
              </w:rPr>
              <w:t>)</w:t>
            </w:r>
          </w:p>
        </w:tc>
        <w:tc>
          <w:tcPr>
            <w:tcW w:w="73" w:type="dxa"/>
            <w:tcBorders/>
            <w:shd w:fill="CCEEFF" w:val="clear"/>
            <w:vAlign w:val="bottom"/>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(23</w:t>
            </w:r>
          </w:p>
        </w:tc>
        <w:tc>
          <w:tcPr>
            <w:tcW w:w="105" w:type="dxa"/>
            <w:tcBorders/>
            <w:shd w:fill="CCEEFF" w:val="clear"/>
            <w:vAlign w:val="bottom"/>
          </w:tcPr>
          <w:p>
            <w:pPr>
              <w:pStyle w:val="TableContents"/>
              <w:bidi w:val="0"/>
              <w:spacing w:before="0" w:after="0"/>
              <w:jc w:val="left"/>
              <w:rPr>
                <w:color w:val="000000"/>
              </w:rPr>
            </w:pPr>
            <w:r>
              <w:rPr>
                <w:color w:val="000000"/>
              </w:rPr>
              <w:t>)</w:t>
            </w:r>
          </w:p>
        </w:tc>
      </w:tr>
      <w:tr>
        <w:trPr/>
        <w:tc>
          <w:tcPr>
            <w:tcW w:w="4304" w:type="dxa"/>
            <w:tcBorders/>
            <w:vAlign w:val="bottom"/>
          </w:tcPr>
          <w:p>
            <w:pPr>
              <w:pStyle w:val="TableContents"/>
              <w:bidi w:val="0"/>
              <w:spacing w:before="0" w:after="0"/>
              <w:jc w:val="left"/>
              <w:rPr>
                <w:color w:val="000000"/>
              </w:rPr>
            </w:pPr>
            <w:r>
              <w:rPr>
                <w:color w:val="000000"/>
              </w:rPr>
              <w:t>Comprehensive loss</w:t>
            </w:r>
          </w:p>
        </w:tc>
        <w:tc>
          <w:tcPr>
            <w:tcW w:w="60" w:type="dxa"/>
            <w:tcBorders/>
            <w:vAlign w:val="bottom"/>
          </w:tcPr>
          <w:p>
            <w:pPr>
              <w:pStyle w:val="TableContents"/>
              <w:bidi w:val="0"/>
              <w:spacing w:before="0" w:after="283"/>
              <w:jc w:val="left"/>
              <w:rPr/>
            </w:pPr>
            <w:r>
              <w:rPr/>
              <w:t> </w:t>
            </w:r>
          </w:p>
        </w:tc>
        <w:tc>
          <w:tcPr>
            <w:tcW w:w="207"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123"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(69,027</w:t>
            </w:r>
          </w:p>
        </w:tc>
        <w:tc>
          <w:tcPr>
            <w:tcW w:w="140" w:type="dxa"/>
            <w:tcBorders/>
            <w:vAlign w:val="bottom"/>
          </w:tcPr>
          <w:p>
            <w:pPr>
              <w:pStyle w:val="TableContents"/>
              <w:bidi w:val="0"/>
              <w:spacing w:before="0" w:after="0"/>
              <w:jc w:val="left"/>
              <w:rPr>
                <w:color w:val="000000"/>
              </w:rPr>
            </w:pPr>
            <w:r>
              <w:rPr>
                <w:color w:val="000000"/>
              </w:rPr>
              <w:t>)</w:t>
            </w:r>
          </w:p>
        </w:tc>
        <w:tc>
          <w:tcPr>
            <w:tcW w:w="88" w:type="dxa"/>
            <w:tcBorders/>
            <w:vAlign w:val="bottom"/>
          </w:tcPr>
          <w:p>
            <w:pPr>
              <w:pStyle w:val="TableContents"/>
              <w:bidi w:val="0"/>
              <w:spacing w:before="0" w:after="283"/>
              <w:jc w:val="left"/>
              <w:rPr/>
            </w:pPr>
            <w:r>
              <w:rPr/>
              <w:t> </w:t>
            </w:r>
          </w:p>
        </w:tc>
        <w:tc>
          <w:tcPr>
            <w:tcW w:w="207"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123"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(58,687</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72"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08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(132,692</w:t>
            </w:r>
          </w:p>
        </w:tc>
        <w:tc>
          <w:tcPr>
            <w:tcW w:w="116" w:type="dxa"/>
            <w:tcBorders/>
            <w:vAlign w:val="bottom"/>
          </w:tcPr>
          <w:p>
            <w:pPr>
              <w:pStyle w:val="TableContents"/>
              <w:bidi w:val="0"/>
              <w:spacing w:before="0" w:after="0"/>
              <w:jc w:val="left"/>
              <w:rPr>
                <w:color w:val="000000"/>
              </w:rPr>
            </w:pPr>
            <w:r>
              <w:rPr>
                <w:color w:val="000000"/>
              </w:rPr>
              <w:t>)</w:t>
            </w:r>
          </w:p>
        </w:tc>
        <w:tc>
          <w:tcPr>
            <w:tcW w:w="73" w:type="dxa"/>
            <w:tcBorders/>
            <w:vAlign w:val="bottom"/>
          </w:tcPr>
          <w:p>
            <w:pPr>
              <w:pStyle w:val="TableContents"/>
              <w:bidi w:val="0"/>
              <w:spacing w:before="0" w:after="283"/>
              <w:jc w:val="left"/>
              <w:rPr/>
            </w:pPr>
            <w:r>
              <w:rPr/>
              <w:t> </w:t>
            </w:r>
          </w:p>
        </w:tc>
        <w:tc>
          <w:tcPr>
            <w:tcW w:w="172"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08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(116,628</w:t>
            </w:r>
          </w:p>
        </w:tc>
        <w:tc>
          <w:tcPr>
            <w:tcW w:w="105" w:type="dxa"/>
            <w:tcBorders/>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0" w:after="0"/>
        <w:jc w:val="left"/>
        <w:rPr>
          <w:i w:val="false"/>
          <w:caps w:val="false"/>
          <w:smallCaps w:val="false"/>
          <w:color w:val="000000"/>
        </w:rPr>
      </w:pPr>
      <w:r>
        <w:rPr>
          <w:i w:val="false"/>
          <w:caps w:val="false"/>
          <w:smallCaps w:val="false"/>
          <w:color w:val="00000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bookmarkStart w:id="14" w:name="Section5"/>
      <w:bookmarkEnd w:id="14"/>
      <w:r>
        <w:rPr>
          <w:rFonts w:ascii="Times New Roman" w:hAnsi="Times New Roman"/>
          <w:b/>
          <w:color w:val="000000"/>
          <w:sz w:val="20"/>
        </w:rPr>
        <w:t>FREENOME HOLDINGS,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Condensed Consolidated Statements of Convertible Preferred Stock and Stockholders’ Deficit (unaudited)</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(in thousands, except share amounts)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5" w:name="za34a8594c43e47698642a439153e0693"/>
      <w:bookmarkStart w:id="16" w:name="za34a8594c43e47698642a439153e0693"/>
      <w:bookmarkEnd w:id="16"/>
    </w:p>
    <w:tbl>
      <w:tblPr>
        <w:tblW w:w="15285" w:type="dxa"/>
        <w:jc w:val="left"/>
        <w:tblInd w:w="-15" w:type="dxa"/>
        <w:tblLayout w:type="fixed"/>
        <w:tblCellMar>
          <w:top w:w="28" w:type="dxa"/>
          <w:left w:w="28" w:type="dxa"/>
          <w:bottom w:w="0" w:type="dxa"/>
          <w:right w:w="0" w:type="dxa"/>
        </w:tblCellMar>
      </w:tblPr>
      <w:tblGrid>
        <w:gridCol w:w="4415"/>
        <w:gridCol w:w="60"/>
        <w:gridCol w:w="60"/>
        <w:gridCol w:w="1220"/>
        <w:gridCol w:w="60"/>
        <w:gridCol w:w="60"/>
        <w:gridCol w:w="140"/>
        <w:gridCol w:w="980"/>
        <w:gridCol w:w="60"/>
        <w:gridCol w:w="60"/>
        <w:gridCol w:w="60"/>
        <w:gridCol w:w="1100"/>
        <w:gridCol w:w="60"/>
        <w:gridCol w:w="60"/>
        <w:gridCol w:w="301"/>
        <w:gridCol w:w="559"/>
        <w:gridCol w:w="60"/>
        <w:gridCol w:w="60"/>
        <w:gridCol w:w="187"/>
        <w:gridCol w:w="913"/>
        <w:gridCol w:w="60"/>
        <w:gridCol w:w="60"/>
        <w:gridCol w:w="563"/>
        <w:gridCol w:w="1047"/>
        <w:gridCol w:w="60"/>
        <w:gridCol w:w="60"/>
        <w:gridCol w:w="160"/>
        <w:gridCol w:w="1210"/>
        <w:gridCol w:w="95"/>
        <w:gridCol w:w="60"/>
        <w:gridCol w:w="156"/>
        <w:gridCol w:w="1184"/>
        <w:gridCol w:w="95"/>
      </w:tblGrid>
      <w:tr>
        <w:trPr/>
        <w:tc>
          <w:tcPr>
            <w:tcW w:w="4415" w:type="dxa"/>
            <w:tcBorders>
              <w:top w:val="single" w:sz="12" w:space="0" w:color="000000"/>
              <w:left w:val="single" w:sz="12" w:space="0" w:color="000000"/>
            </w:tcBorders>
            <w:vAlign w:val="bottom"/>
          </w:tcPr>
          <w:p>
            <w:pPr>
              <w:pStyle w:val="TableContents"/>
              <w:bidi w:val="0"/>
              <w:spacing w:before="0" w:after="283"/>
              <w:jc w:val="left"/>
              <w:rPr/>
            </w:pPr>
            <w:r>
              <w:rPr/>
              <w:t> </w:t>
            </w:r>
          </w:p>
        </w:tc>
        <w:tc>
          <w:tcPr>
            <w:tcW w:w="60" w:type="dxa"/>
            <w:tcBorders>
              <w:top w:val="single" w:sz="12" w:space="0" w:color="000000"/>
            </w:tcBorders>
            <w:tcMar>
              <w:left w:w="0" w:type="dxa"/>
            </w:tcMar>
            <w:vAlign w:val="bottom"/>
          </w:tcPr>
          <w:p>
            <w:pPr>
              <w:pStyle w:val="TableContents"/>
              <w:bidi w:val="0"/>
              <w:spacing w:before="0" w:after="283"/>
              <w:jc w:val="left"/>
              <w:rPr/>
            </w:pPr>
            <w:r>
              <w:rPr/>
              <w:t> </w:t>
            </w:r>
          </w:p>
        </w:tc>
        <w:tc>
          <w:tcPr>
            <w:tcW w:w="10715" w:type="dxa"/>
            <w:gridSpan w:val="30"/>
            <w:tcBorders>
              <w:top w:val="single" w:sz="12" w:space="0" w:color="000000"/>
              <w:bottom w:val="single" w:sz="12" w:space="0" w:color="000000"/>
            </w:tcBorders>
            <w:tcMar>
              <w:left w:w="0" w:type="dxa"/>
              <w:bottom w:w="28" w:type="dxa"/>
            </w:tcMar>
            <w:vAlign w:val="bottom"/>
          </w:tcPr>
          <w:p>
            <w:pPr>
              <w:pStyle w:val="TableContents"/>
              <w:bidi w:val="0"/>
              <w:spacing w:before="0" w:after="0"/>
              <w:jc w:val="center"/>
              <w:rPr>
                <w:b/>
                <w:color w:val="000000"/>
              </w:rPr>
            </w:pPr>
            <w:r>
              <w:rPr>
                <w:b/>
                <w:color w:val="000000"/>
              </w:rPr>
              <w:t>Three Months Ended June 30, 2026</w:t>
            </w:r>
          </w:p>
        </w:tc>
        <w:tc>
          <w:tcPr>
            <w:tcW w:w="95" w:type="dxa"/>
            <w:tcBorders>
              <w:top w:val="single" w:sz="12" w:space="0" w:color="000000"/>
              <w:bottom w:val="single" w:sz="12" w:space="0" w:color="000000"/>
              <w:right w:val="single" w:sz="12" w:space="0" w:color="000000"/>
            </w:tcBorders>
            <w:tcMar>
              <w:left w:w="0" w:type="dxa"/>
              <w:bottom w:w="28" w:type="dxa"/>
              <w:right w:w="28" w:type="dxa"/>
            </w:tcMar>
            <w:vAlign w:val="bottom"/>
          </w:tcPr>
          <w:p>
            <w:pPr>
              <w:pStyle w:val="TableContents"/>
              <w:bidi w:val="0"/>
              <w:spacing w:before="0" w:after="283"/>
              <w:jc w:val="left"/>
              <w:rPr/>
            </w:pPr>
            <w:r>
              <w:rPr/>
              <w:t> </w:t>
            </w:r>
          </w:p>
        </w:tc>
      </w:tr>
      <w:tr>
        <w:trPr/>
        <w:tc>
          <w:tcPr>
            <w:tcW w:w="4415" w:type="dxa"/>
            <w:tcBorders>
              <w:left w:val="single" w:sz="12" w:space="0" w:color="000000"/>
            </w:tcBorders>
            <w:tcMar>
              <w:top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2520" w:type="dxa"/>
            <w:gridSpan w:val="6"/>
            <w:tcBorders>
              <w:bottom w:val="single" w:sz="12" w:space="0" w:color="000000"/>
            </w:tcBorders>
            <w:tcMar>
              <w:top w:w="0" w:type="dxa"/>
              <w:left w:w="0" w:type="dxa"/>
              <w:bottom w:w="28" w:type="dxa"/>
            </w:tcMar>
            <w:vAlign w:val="bottom"/>
          </w:tcPr>
          <w:p>
            <w:pPr>
              <w:pStyle w:val="TableContents"/>
              <w:bidi w:val="0"/>
              <w:spacing w:before="0" w:after="0"/>
              <w:jc w:val="center"/>
              <w:rPr>
                <w:b/>
                <w:color w:val="000000"/>
              </w:rPr>
            </w:pPr>
            <w:r>
              <w:rPr>
                <w:b/>
                <w:color w:val="000000"/>
              </w:rPr>
              <w:t>Convertible</w:t>
            </w:r>
          </w:p>
          <w:p>
            <w:pPr>
              <w:pStyle w:val="TableContents"/>
              <w:bidi w:val="0"/>
              <w:spacing w:before="0" w:after="0"/>
              <w:jc w:val="center"/>
              <w:rPr>
                <w:b/>
                <w:color w:val="000000"/>
              </w:rPr>
            </w:pPr>
            <w:r>
              <w:rPr>
                <w:b/>
                <w:color w:val="000000"/>
              </w:rPr>
              <w:t>Preferred Stock</w:t>
            </w:r>
          </w:p>
        </w:tc>
        <w:tc>
          <w:tcPr>
            <w:tcW w:w="60" w:type="dxa"/>
            <w:tcBorders/>
            <w:tcMar>
              <w:top w:w="0" w:type="dxa"/>
              <w:left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2140" w:type="dxa"/>
            <w:gridSpan w:val="6"/>
            <w:tcBorders>
              <w:bottom w:val="single" w:sz="12" w:space="0" w:color="000000"/>
            </w:tcBorders>
            <w:tcMar>
              <w:top w:w="0" w:type="dxa"/>
              <w:left w:w="0" w:type="dxa"/>
              <w:bottom w:w="28" w:type="dxa"/>
            </w:tcMar>
            <w:vAlign w:val="bottom"/>
          </w:tcPr>
          <w:p>
            <w:pPr>
              <w:pStyle w:val="TableContents"/>
              <w:bidi w:val="0"/>
              <w:spacing w:before="0" w:after="0"/>
              <w:jc w:val="center"/>
              <w:rPr>
                <w:b/>
                <w:color w:val="000000"/>
              </w:rPr>
            </w:pPr>
            <w:r>
              <w:rPr>
                <w:b/>
                <w:color w:val="000000"/>
              </w:rPr>
              <w:t>Common Stock</w:t>
            </w:r>
          </w:p>
        </w:tc>
        <w:tc>
          <w:tcPr>
            <w:tcW w:w="60" w:type="dxa"/>
            <w:tcBorders/>
            <w:tcMar>
              <w:top w:w="0" w:type="dxa"/>
              <w:left w:w="0" w:type="dxa"/>
            </w:tcMar>
            <w:vAlign w:val="bottom"/>
          </w:tcPr>
          <w:p>
            <w:pPr>
              <w:pStyle w:val="TableContents"/>
              <w:bidi w:val="0"/>
              <w:spacing w:before="0" w:after="283"/>
              <w:jc w:val="left"/>
              <w:rPr/>
            </w:pPr>
            <w:r>
              <w:rPr/>
              <w:t> </w:t>
            </w:r>
          </w:p>
        </w:tc>
        <w:tc>
          <w:tcPr>
            <w:tcW w:w="60" w:type="dxa"/>
            <w:vMerge w:val="restart"/>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1100" w:type="dxa"/>
            <w:gridSpan w:val="2"/>
            <w:vMerge w:val="restart"/>
            <w:tcBorders>
              <w:bottom w:val="single" w:sz="12" w:space="0" w:color="000000"/>
            </w:tcBorders>
            <w:tcMar>
              <w:top w:w="0" w:type="dxa"/>
              <w:left w:w="0" w:type="dxa"/>
              <w:bottom w:w="28" w:type="dxa"/>
            </w:tcMar>
            <w:vAlign w:val="bottom"/>
          </w:tcPr>
          <w:p>
            <w:pPr>
              <w:pStyle w:val="TableContents"/>
              <w:bidi w:val="0"/>
              <w:spacing w:before="0" w:after="0"/>
              <w:jc w:val="center"/>
              <w:rPr>
                <w:b/>
                <w:color w:val="000000"/>
              </w:rPr>
            </w:pPr>
            <w:r>
              <w:rPr>
                <w:b/>
                <w:color w:val="000000"/>
              </w:rPr>
              <w:t>Additional</w:t>
            </w:r>
          </w:p>
          <w:p>
            <w:pPr>
              <w:pStyle w:val="TableContents"/>
              <w:bidi w:val="0"/>
              <w:spacing w:before="0" w:after="0"/>
              <w:jc w:val="center"/>
              <w:rPr>
                <w:b/>
                <w:color w:val="000000"/>
              </w:rPr>
            </w:pPr>
            <w:r>
              <w:rPr>
                <w:b/>
                <w:color w:val="000000"/>
              </w:rPr>
              <w:t>Paid-in</w:t>
            </w:r>
          </w:p>
          <w:p>
            <w:pPr>
              <w:pStyle w:val="TableContents"/>
              <w:bidi w:val="0"/>
              <w:spacing w:before="0" w:after="0"/>
              <w:jc w:val="center"/>
              <w:rPr>
                <w:b/>
                <w:color w:val="000000"/>
              </w:rPr>
            </w:pPr>
            <w:r>
              <w:rPr>
                <w:b/>
                <w:color w:val="000000"/>
              </w:rPr>
              <w:t>Capital</w:t>
            </w:r>
          </w:p>
        </w:tc>
        <w:tc>
          <w:tcPr>
            <w:tcW w:w="60" w:type="dxa"/>
            <w:vMerge w:val="restart"/>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60" w:type="dxa"/>
            <w:vMerge w:val="restart"/>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1610" w:type="dxa"/>
            <w:gridSpan w:val="2"/>
            <w:vMerge w:val="restart"/>
            <w:tcBorders>
              <w:bottom w:val="single" w:sz="12" w:space="0" w:color="000000"/>
            </w:tcBorders>
            <w:tcMar>
              <w:top w:w="0" w:type="dxa"/>
              <w:left w:w="0" w:type="dxa"/>
              <w:bottom w:w="28" w:type="dxa"/>
            </w:tcMar>
            <w:vAlign w:val="bottom"/>
          </w:tcPr>
          <w:p>
            <w:pPr>
              <w:pStyle w:val="TableContents"/>
              <w:bidi w:val="0"/>
              <w:spacing w:before="0" w:after="0"/>
              <w:jc w:val="center"/>
              <w:rPr>
                <w:b/>
                <w:color w:val="000000"/>
              </w:rPr>
            </w:pPr>
            <w:r>
              <w:rPr>
                <w:b/>
                <w:color w:val="000000"/>
              </w:rPr>
              <w:t>Accumulated</w:t>
            </w:r>
          </w:p>
          <w:p>
            <w:pPr>
              <w:pStyle w:val="TableContents"/>
              <w:bidi w:val="0"/>
              <w:spacing w:before="0" w:after="0"/>
              <w:jc w:val="center"/>
              <w:rPr>
                <w:b/>
                <w:color w:val="000000"/>
              </w:rPr>
            </w:pPr>
            <w:r>
              <w:rPr>
                <w:b/>
                <w:color w:val="000000"/>
              </w:rPr>
              <w:t>Other</w:t>
            </w:r>
          </w:p>
          <w:p>
            <w:pPr>
              <w:pStyle w:val="TableContents"/>
              <w:bidi w:val="0"/>
              <w:spacing w:before="0" w:after="0"/>
              <w:jc w:val="center"/>
              <w:rPr>
                <w:b/>
                <w:color w:val="000000"/>
              </w:rPr>
            </w:pPr>
            <w:r>
              <w:rPr>
                <w:b/>
                <w:color w:val="000000"/>
              </w:rPr>
              <w:t>Comprehensive</w:t>
            </w:r>
          </w:p>
          <w:p>
            <w:pPr>
              <w:pStyle w:val="TableContents"/>
              <w:bidi w:val="0"/>
              <w:spacing w:before="0" w:after="0"/>
              <w:jc w:val="center"/>
              <w:rPr>
                <w:b/>
                <w:color w:val="000000"/>
              </w:rPr>
            </w:pPr>
            <w:r>
              <w:rPr>
                <w:b/>
                <w:color w:val="000000"/>
              </w:rPr>
              <w:t>Gain</w:t>
            </w:r>
          </w:p>
        </w:tc>
        <w:tc>
          <w:tcPr>
            <w:tcW w:w="60" w:type="dxa"/>
            <w:vMerge w:val="restart"/>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60" w:type="dxa"/>
            <w:vMerge w:val="restart"/>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1370" w:type="dxa"/>
            <w:gridSpan w:val="2"/>
            <w:vMerge w:val="restart"/>
            <w:tcBorders>
              <w:bottom w:val="single" w:sz="12" w:space="0" w:color="000000"/>
            </w:tcBorders>
            <w:tcMar>
              <w:top w:w="0" w:type="dxa"/>
              <w:left w:w="0" w:type="dxa"/>
              <w:bottom w:w="28" w:type="dxa"/>
            </w:tcMar>
            <w:vAlign w:val="bottom"/>
          </w:tcPr>
          <w:p>
            <w:pPr>
              <w:pStyle w:val="TableContents"/>
              <w:bidi w:val="0"/>
              <w:spacing w:before="0" w:after="0"/>
              <w:jc w:val="center"/>
              <w:rPr>
                <w:b/>
                <w:color w:val="000000"/>
              </w:rPr>
            </w:pPr>
            <w:r>
              <w:rPr>
                <w:b/>
                <w:color w:val="000000"/>
              </w:rPr>
              <w:t>Accumulated</w:t>
            </w:r>
          </w:p>
          <w:p>
            <w:pPr>
              <w:pStyle w:val="TableContents"/>
              <w:bidi w:val="0"/>
              <w:spacing w:before="0" w:after="0"/>
              <w:jc w:val="center"/>
              <w:rPr>
                <w:b/>
                <w:color w:val="000000"/>
              </w:rPr>
            </w:pPr>
            <w:r>
              <w:rPr>
                <w:b/>
                <w:color w:val="000000"/>
              </w:rPr>
              <w:t>Deficit</w:t>
            </w:r>
          </w:p>
        </w:tc>
        <w:tc>
          <w:tcPr>
            <w:tcW w:w="95" w:type="dxa"/>
            <w:vMerge w:val="restart"/>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60" w:type="dxa"/>
            <w:vMerge w:val="restart"/>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1340" w:type="dxa"/>
            <w:gridSpan w:val="2"/>
            <w:vMerge w:val="restart"/>
            <w:tcBorders>
              <w:bottom w:val="single" w:sz="12" w:space="0" w:color="000000"/>
            </w:tcBorders>
            <w:tcMar>
              <w:top w:w="0" w:type="dxa"/>
              <w:left w:w="0" w:type="dxa"/>
              <w:bottom w:w="28" w:type="dxa"/>
            </w:tcMar>
            <w:vAlign w:val="bottom"/>
          </w:tcPr>
          <w:p>
            <w:pPr>
              <w:pStyle w:val="TableContents"/>
              <w:bidi w:val="0"/>
              <w:spacing w:before="0" w:after="0"/>
              <w:jc w:val="center"/>
              <w:rPr>
                <w:b/>
                <w:color w:val="000000"/>
              </w:rPr>
            </w:pPr>
            <w:r>
              <w:rPr>
                <w:b/>
                <w:color w:val="000000"/>
              </w:rPr>
              <w:t>Total</w:t>
            </w:r>
          </w:p>
          <w:p>
            <w:pPr>
              <w:pStyle w:val="TableContents"/>
              <w:bidi w:val="0"/>
              <w:spacing w:before="0" w:after="0"/>
              <w:jc w:val="center"/>
              <w:rPr>
                <w:b/>
                <w:color w:val="000000"/>
              </w:rPr>
            </w:pPr>
            <w:r>
              <w:rPr>
                <w:b/>
                <w:color w:val="000000"/>
              </w:rPr>
              <w:t>Stockholders’</w:t>
            </w:r>
          </w:p>
          <w:p>
            <w:pPr>
              <w:pStyle w:val="TableContents"/>
              <w:bidi w:val="0"/>
              <w:spacing w:before="0" w:after="0"/>
              <w:jc w:val="center"/>
              <w:rPr>
                <w:b/>
                <w:color w:val="000000"/>
              </w:rPr>
            </w:pPr>
            <w:r>
              <w:rPr>
                <w:b/>
                <w:color w:val="000000"/>
              </w:rPr>
              <w:t>Deficit</w:t>
            </w:r>
          </w:p>
        </w:tc>
        <w:tc>
          <w:tcPr>
            <w:tcW w:w="95" w:type="dxa"/>
            <w:vMerge w:val="restart"/>
            <w:tcBorders>
              <w:bottom w:val="single" w:sz="12" w:space="0" w:color="000000"/>
              <w:right w:val="single" w:sz="12" w:space="0" w:color="000000"/>
            </w:tcBorders>
            <w:tcMar>
              <w:top w:w="0" w:type="dxa"/>
              <w:left w:w="0" w:type="dxa"/>
              <w:bottom w:w="28" w:type="dxa"/>
              <w:right w:w="28" w:type="dxa"/>
            </w:tcMar>
            <w:vAlign w:val="bottom"/>
          </w:tcPr>
          <w:p>
            <w:pPr>
              <w:pStyle w:val="TableContents"/>
              <w:bidi w:val="0"/>
              <w:spacing w:before="0" w:after="283"/>
              <w:jc w:val="left"/>
              <w:rPr/>
            </w:pPr>
            <w:r>
              <w:rPr/>
              <w:t> </w:t>
            </w:r>
          </w:p>
        </w:tc>
      </w:tr>
      <w:tr>
        <w:trPr/>
        <w:tc>
          <w:tcPr>
            <w:tcW w:w="4415" w:type="dxa"/>
            <w:tcBorders>
              <w:left w:val="single" w:sz="12" w:space="0" w:color="000000"/>
              <w:bottom w:val="single" w:sz="12" w:space="0" w:color="000000"/>
            </w:tcBorders>
            <w:tcMar>
              <w:top w:w="0" w:type="dxa"/>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1280" w:type="dxa"/>
            <w:gridSpan w:val="2"/>
            <w:tcBorders>
              <w:bottom w:val="single" w:sz="12" w:space="0" w:color="000000"/>
            </w:tcBorders>
            <w:tcMar>
              <w:top w:w="0" w:type="dxa"/>
              <w:left w:w="0" w:type="dxa"/>
              <w:bottom w:w="28" w:type="dxa"/>
            </w:tcMar>
            <w:vAlign w:val="bottom"/>
          </w:tcPr>
          <w:p>
            <w:pPr>
              <w:pStyle w:val="TableContents"/>
              <w:bidi w:val="0"/>
              <w:spacing w:before="0" w:after="0"/>
              <w:jc w:val="center"/>
              <w:rPr>
                <w:b/>
                <w:color w:val="000000"/>
              </w:rPr>
            </w:pPr>
            <w:r>
              <w:rPr>
                <w:b/>
                <w:color w:val="000000"/>
              </w:rPr>
              <w:t>Shares</w:t>
            </w:r>
          </w:p>
        </w:tc>
        <w:tc>
          <w:tcPr>
            <w:tcW w:w="60" w:type="dxa"/>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1120" w:type="dxa"/>
            <w:gridSpan w:val="2"/>
            <w:tcBorders>
              <w:bottom w:val="single" w:sz="12" w:space="0" w:color="000000"/>
            </w:tcBorders>
            <w:tcMar>
              <w:top w:w="0" w:type="dxa"/>
              <w:left w:w="0" w:type="dxa"/>
              <w:bottom w:w="28" w:type="dxa"/>
            </w:tcMar>
            <w:vAlign w:val="bottom"/>
          </w:tcPr>
          <w:p>
            <w:pPr>
              <w:pStyle w:val="TableContents"/>
              <w:bidi w:val="0"/>
              <w:spacing w:before="0" w:after="0"/>
              <w:jc w:val="center"/>
              <w:rPr>
                <w:b/>
                <w:color w:val="000000"/>
              </w:rPr>
            </w:pPr>
            <w:r>
              <w:rPr>
                <w:b/>
                <w:color w:val="000000"/>
              </w:rPr>
              <w:t>Amount</w:t>
            </w:r>
          </w:p>
        </w:tc>
        <w:tc>
          <w:tcPr>
            <w:tcW w:w="60" w:type="dxa"/>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60" w:type="dxa"/>
            <w:tcBorders>
              <w:left w:val="single" w:sz="12" w:space="0" w:color="000000"/>
              <w:bottom w:val="single" w:sz="12" w:space="0" w:color="000000"/>
            </w:tcBorders>
            <w:tcMar>
              <w:top w:w="0" w:type="dxa"/>
              <w:bottom w:w="28" w:type="dxa"/>
            </w:tcMar>
            <w:vAlign w:val="bottom"/>
          </w:tcPr>
          <w:p>
            <w:pPr>
              <w:pStyle w:val="TableContents"/>
              <w:bidi w:val="0"/>
              <w:spacing w:before="0" w:after="283"/>
              <w:jc w:val="left"/>
              <w:rPr/>
            </w:pPr>
            <w:r>
              <w:rPr/>
              <w:t> </w:t>
            </w:r>
          </w:p>
        </w:tc>
        <w:tc>
          <w:tcPr>
            <w:tcW w:w="1160" w:type="dxa"/>
            <w:gridSpan w:val="2"/>
            <w:tcBorders>
              <w:bottom w:val="single" w:sz="12" w:space="0" w:color="000000"/>
            </w:tcBorders>
            <w:tcMar>
              <w:top w:w="0" w:type="dxa"/>
              <w:left w:w="0" w:type="dxa"/>
              <w:bottom w:w="28" w:type="dxa"/>
            </w:tcMar>
            <w:vAlign w:val="bottom"/>
          </w:tcPr>
          <w:p>
            <w:pPr>
              <w:pStyle w:val="TableContents"/>
              <w:bidi w:val="0"/>
              <w:spacing w:before="0" w:after="0"/>
              <w:jc w:val="center"/>
              <w:rPr>
                <w:b/>
                <w:color w:val="000000"/>
              </w:rPr>
            </w:pPr>
            <w:r>
              <w:rPr>
                <w:b/>
                <w:color w:val="000000"/>
              </w:rPr>
              <w:t>Shares</w:t>
            </w:r>
          </w:p>
        </w:tc>
        <w:tc>
          <w:tcPr>
            <w:tcW w:w="60" w:type="dxa"/>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860" w:type="dxa"/>
            <w:gridSpan w:val="2"/>
            <w:tcBorders>
              <w:bottom w:val="single" w:sz="12" w:space="0" w:color="000000"/>
            </w:tcBorders>
            <w:tcMar>
              <w:top w:w="0" w:type="dxa"/>
              <w:left w:w="0" w:type="dxa"/>
              <w:bottom w:w="28" w:type="dxa"/>
            </w:tcMar>
            <w:vAlign w:val="bottom"/>
          </w:tcPr>
          <w:p>
            <w:pPr>
              <w:pStyle w:val="TableContents"/>
              <w:bidi w:val="0"/>
              <w:spacing w:before="0" w:after="0"/>
              <w:jc w:val="center"/>
              <w:rPr>
                <w:b/>
                <w:color w:val="000000"/>
              </w:rPr>
            </w:pPr>
            <w:r>
              <w:rPr>
                <w:b/>
                <w:color w:val="000000"/>
              </w:rPr>
              <w:t>Amount</w:t>
            </w:r>
          </w:p>
        </w:tc>
        <w:tc>
          <w:tcPr>
            <w:tcW w:w="60" w:type="dxa"/>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60" w:type="dxa"/>
            <w:vMerge w:val="continue"/>
            <w:tcBorders>
              <w:bottom w:val="single" w:sz="12" w:space="0" w:color="000000"/>
            </w:tcBorders>
            <w:tcMar>
              <w:top w:w="0" w:type="dxa"/>
              <w:left w:w="0" w:type="dxa"/>
              <w:bottom w:w="28" w:type="dxa"/>
            </w:tcMar>
            <w:vAlign w:val="bottom"/>
          </w:tcPr>
          <w:p>
            <w:pPr>
              <w:pStyle w:val="Normal"/>
              <w:bidi w:val="0"/>
              <w:jc w:val="left"/>
              <w:rPr/>
            </w:pPr>
            <w:r>
              <w:rPr/>
            </w:r>
          </w:p>
        </w:tc>
        <w:tc>
          <w:tcPr>
            <w:tcW w:w="1100" w:type="dxa"/>
            <w:gridSpan w:val="2"/>
            <w:vMerge w:val="continue"/>
            <w:tcBorders>
              <w:bottom w:val="single" w:sz="12" w:space="0" w:color="000000"/>
            </w:tcBorders>
            <w:tcMar>
              <w:top w:w="0" w:type="dxa"/>
              <w:left w:w="0" w:type="dxa"/>
              <w:bottom w:w="28" w:type="dxa"/>
            </w:tcMar>
            <w:vAlign w:val="bottom"/>
          </w:tcPr>
          <w:p>
            <w:pPr>
              <w:pStyle w:val="Normal"/>
              <w:bidi w:val="0"/>
              <w:jc w:val="left"/>
              <w:rPr/>
            </w:pPr>
            <w:r>
              <w:rPr/>
            </w:r>
          </w:p>
        </w:tc>
        <w:tc>
          <w:tcPr>
            <w:tcW w:w="60" w:type="dxa"/>
            <w:vMerge w:val="continue"/>
            <w:tcBorders>
              <w:bottom w:val="single" w:sz="12" w:space="0" w:color="000000"/>
            </w:tcBorders>
            <w:tcMar>
              <w:top w:w="0" w:type="dxa"/>
              <w:left w:w="0" w:type="dxa"/>
              <w:bottom w:w="28" w:type="dxa"/>
            </w:tcMar>
            <w:vAlign w:val="bottom"/>
          </w:tcPr>
          <w:p>
            <w:pPr>
              <w:pStyle w:val="Normal"/>
              <w:bidi w:val="0"/>
              <w:jc w:val="left"/>
              <w:rPr/>
            </w:pPr>
            <w:r>
              <w:rPr/>
            </w:r>
          </w:p>
        </w:tc>
        <w:tc>
          <w:tcPr>
            <w:tcW w:w="60" w:type="dxa"/>
            <w:vMerge w:val="continue"/>
            <w:tcBorders>
              <w:bottom w:val="single" w:sz="12" w:space="0" w:color="000000"/>
            </w:tcBorders>
            <w:tcMar>
              <w:top w:w="0" w:type="dxa"/>
              <w:left w:w="0" w:type="dxa"/>
              <w:bottom w:w="28" w:type="dxa"/>
            </w:tcMar>
            <w:vAlign w:val="bottom"/>
          </w:tcPr>
          <w:p>
            <w:pPr>
              <w:pStyle w:val="Normal"/>
              <w:bidi w:val="0"/>
              <w:jc w:val="left"/>
              <w:rPr/>
            </w:pPr>
            <w:r>
              <w:rPr/>
            </w:r>
          </w:p>
        </w:tc>
        <w:tc>
          <w:tcPr>
            <w:tcW w:w="1610" w:type="dxa"/>
            <w:gridSpan w:val="2"/>
            <w:vMerge w:val="continue"/>
            <w:tcBorders>
              <w:bottom w:val="single" w:sz="12" w:space="0" w:color="000000"/>
            </w:tcBorders>
            <w:tcMar>
              <w:top w:w="0" w:type="dxa"/>
              <w:left w:w="0" w:type="dxa"/>
              <w:bottom w:w="28" w:type="dxa"/>
            </w:tcMar>
            <w:vAlign w:val="bottom"/>
          </w:tcPr>
          <w:p>
            <w:pPr>
              <w:pStyle w:val="Normal"/>
              <w:bidi w:val="0"/>
              <w:jc w:val="left"/>
              <w:rPr/>
            </w:pPr>
            <w:r>
              <w:rPr/>
            </w:r>
          </w:p>
        </w:tc>
        <w:tc>
          <w:tcPr>
            <w:tcW w:w="60" w:type="dxa"/>
            <w:vMerge w:val="continue"/>
            <w:tcBorders>
              <w:bottom w:val="single" w:sz="12" w:space="0" w:color="000000"/>
            </w:tcBorders>
            <w:tcMar>
              <w:top w:w="0" w:type="dxa"/>
              <w:left w:w="0" w:type="dxa"/>
              <w:bottom w:w="28" w:type="dxa"/>
            </w:tcMar>
            <w:vAlign w:val="bottom"/>
          </w:tcPr>
          <w:p>
            <w:pPr>
              <w:pStyle w:val="Normal"/>
              <w:bidi w:val="0"/>
              <w:jc w:val="left"/>
              <w:rPr/>
            </w:pPr>
            <w:r>
              <w:rPr/>
            </w:r>
          </w:p>
        </w:tc>
        <w:tc>
          <w:tcPr>
            <w:tcW w:w="60" w:type="dxa"/>
            <w:vMerge w:val="continue"/>
            <w:tcBorders>
              <w:bottom w:val="single" w:sz="12" w:space="0" w:color="000000"/>
            </w:tcBorders>
            <w:tcMar>
              <w:top w:w="0" w:type="dxa"/>
              <w:left w:w="0" w:type="dxa"/>
              <w:bottom w:w="28" w:type="dxa"/>
            </w:tcMar>
            <w:vAlign w:val="bottom"/>
          </w:tcPr>
          <w:p>
            <w:pPr>
              <w:pStyle w:val="Normal"/>
              <w:bidi w:val="0"/>
              <w:jc w:val="left"/>
              <w:rPr/>
            </w:pPr>
            <w:r>
              <w:rPr/>
            </w:r>
          </w:p>
        </w:tc>
        <w:tc>
          <w:tcPr>
            <w:tcW w:w="1370" w:type="dxa"/>
            <w:gridSpan w:val="2"/>
            <w:vMerge w:val="continue"/>
            <w:tcBorders>
              <w:bottom w:val="single" w:sz="12" w:space="0" w:color="000000"/>
            </w:tcBorders>
            <w:tcMar>
              <w:top w:w="0" w:type="dxa"/>
              <w:left w:w="0" w:type="dxa"/>
              <w:bottom w:w="28" w:type="dxa"/>
            </w:tcMar>
            <w:vAlign w:val="bottom"/>
          </w:tcPr>
          <w:p>
            <w:pPr>
              <w:pStyle w:val="Normal"/>
              <w:bidi w:val="0"/>
              <w:jc w:val="left"/>
              <w:rPr/>
            </w:pPr>
            <w:r>
              <w:rPr/>
            </w:r>
          </w:p>
        </w:tc>
        <w:tc>
          <w:tcPr>
            <w:tcW w:w="95" w:type="dxa"/>
            <w:vMerge w:val="continue"/>
            <w:tcBorders>
              <w:bottom w:val="single" w:sz="12" w:space="0" w:color="000000"/>
              <w:right w:val="single" w:sz="12" w:space="0" w:color="000000"/>
            </w:tcBorders>
            <w:tcMar>
              <w:top w:w="0" w:type="dxa"/>
              <w:left w:w="0" w:type="dxa"/>
              <w:bottom w:w="28" w:type="dxa"/>
              <w:right w:w="28" w:type="dxa"/>
            </w:tcMar>
            <w:vAlign w:val="bottom"/>
          </w:tcPr>
          <w:p>
            <w:pPr>
              <w:pStyle w:val="Normal"/>
              <w:bidi w:val="0"/>
              <w:jc w:val="left"/>
              <w:rPr/>
            </w:pPr>
            <w:r>
              <w:rPr/>
            </w:r>
          </w:p>
        </w:tc>
        <w:tc>
          <w:tcPr>
            <w:tcW w:w="60" w:type="dxa"/>
            <w:vMerge w:val="continue"/>
            <w:tcBorders>
              <w:bottom w:val="single" w:sz="12" w:space="0" w:color="000000"/>
            </w:tcBorders>
            <w:tcMar>
              <w:top w:w="0" w:type="dxa"/>
              <w:left w:w="0" w:type="dxa"/>
              <w:bottom w:w="28" w:type="dxa"/>
            </w:tcMar>
            <w:vAlign w:val="bottom"/>
          </w:tcPr>
          <w:p>
            <w:pPr>
              <w:pStyle w:val="Normal"/>
              <w:bidi w:val="0"/>
              <w:jc w:val="left"/>
              <w:rPr/>
            </w:pPr>
            <w:r>
              <w:rPr/>
            </w:r>
          </w:p>
        </w:tc>
        <w:tc>
          <w:tcPr>
            <w:tcW w:w="1340" w:type="dxa"/>
            <w:gridSpan w:val="2"/>
            <w:vMerge w:val="continue"/>
            <w:tcBorders>
              <w:bottom w:val="single" w:sz="12" w:space="0" w:color="000000"/>
            </w:tcBorders>
            <w:tcMar>
              <w:top w:w="0" w:type="dxa"/>
              <w:left w:w="0" w:type="dxa"/>
              <w:bottom w:w="28" w:type="dxa"/>
            </w:tcMar>
            <w:vAlign w:val="bottom"/>
          </w:tcPr>
          <w:p>
            <w:pPr>
              <w:pStyle w:val="Normal"/>
              <w:bidi w:val="0"/>
              <w:jc w:val="left"/>
              <w:rPr/>
            </w:pPr>
            <w:r>
              <w:rPr/>
            </w:r>
          </w:p>
        </w:tc>
        <w:tc>
          <w:tcPr>
            <w:tcW w:w="95" w:type="dxa"/>
            <w:vMerge w:val="continue"/>
            <w:tcBorders>
              <w:bottom w:val="single" w:sz="12" w:space="0" w:color="000000"/>
              <w:right w:val="single" w:sz="12" w:space="0" w:color="000000"/>
            </w:tcBorders>
            <w:tcMar>
              <w:top w:w="0" w:type="dxa"/>
              <w:left w:w="0" w:type="dxa"/>
              <w:bottom w:w="28" w:type="dxa"/>
              <w:right w:w="28" w:type="dxa"/>
            </w:tcMar>
            <w:vAlign w:val="bottom"/>
          </w:tcPr>
          <w:p>
            <w:pPr>
              <w:pStyle w:val="Normal"/>
              <w:bidi w:val="0"/>
              <w:jc w:val="left"/>
              <w:rPr/>
            </w:pPr>
            <w:r>
              <w:rPr/>
            </w:r>
          </w:p>
        </w:tc>
      </w:tr>
      <w:tr>
        <w:trPr/>
        <w:tc>
          <w:tcPr>
            <w:tcW w:w="4415" w:type="dxa"/>
            <w:tcBorders>
              <w:left w:val="single" w:sz="12" w:space="0" w:color="000000"/>
            </w:tcBorders>
            <w:shd w:fill="CCEEFF" w:val="clear"/>
            <w:tcMar>
              <w:top w:w="0" w:type="dxa"/>
            </w:tcMar>
            <w:vAlign w:val="bottom"/>
          </w:tcPr>
          <w:p>
            <w:pPr>
              <w:pStyle w:val="TableContents"/>
              <w:bidi w:val="0"/>
              <w:spacing w:before="0" w:after="0"/>
              <w:ind w:left="144" w:right="0" w:hanging="144"/>
              <w:jc w:val="left"/>
              <w:rPr>
                <w:b/>
                <w:color w:val="000000"/>
              </w:rPr>
            </w:pPr>
            <w:r>
              <w:rPr>
                <w:b/>
                <w:color w:val="000000"/>
              </w:rPr>
              <w:t>Balance as of March 31, 2026</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1220" w:type="dxa"/>
            <w:tcBorders/>
            <w:shd w:fill="CCEEFF" w:val="clear"/>
            <w:tcMar>
              <w:top w:w="0" w:type="dxa"/>
              <w:left w:w="0" w:type="dxa"/>
            </w:tcMar>
            <w:vAlign w:val="bottom"/>
          </w:tcPr>
          <w:p>
            <w:pPr>
              <w:pStyle w:val="TableContents"/>
              <w:bidi w:val="0"/>
              <w:spacing w:before="0" w:after="0"/>
              <w:jc w:val="right"/>
              <w:rPr>
                <w:color w:val="000000"/>
              </w:rPr>
            </w:pPr>
            <w:r>
              <w:rPr>
                <w:color w:val="000000"/>
              </w:rPr>
              <w:t>212,541,832</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140" w:type="dxa"/>
            <w:tcBorders/>
            <w:shd w:fill="CCEEFF" w:val="clear"/>
            <w:tcMar>
              <w:top w:w="0" w:type="dxa"/>
              <w:left w:w="0" w:type="dxa"/>
            </w:tcMar>
            <w:vAlign w:val="bottom"/>
          </w:tcPr>
          <w:p>
            <w:pPr>
              <w:pStyle w:val="TableContents"/>
              <w:bidi w:val="0"/>
              <w:spacing w:before="0" w:after="0"/>
              <w:jc w:val="left"/>
              <w:rPr>
                <w:color w:val="000000"/>
              </w:rPr>
            </w:pPr>
            <w:r>
              <w:rPr>
                <w:color w:val="000000"/>
              </w:rPr>
              <w:t>$</w:t>
            </w:r>
          </w:p>
        </w:tc>
        <w:tc>
          <w:tcPr>
            <w:tcW w:w="980" w:type="dxa"/>
            <w:tcBorders/>
            <w:shd w:fill="CCEEFF" w:val="clear"/>
            <w:tcMar>
              <w:top w:w="0" w:type="dxa"/>
              <w:left w:w="0" w:type="dxa"/>
            </w:tcMar>
            <w:vAlign w:val="bottom"/>
          </w:tcPr>
          <w:p>
            <w:pPr>
              <w:pStyle w:val="TableContents"/>
              <w:bidi w:val="0"/>
              <w:spacing w:before="0" w:after="0"/>
              <w:jc w:val="right"/>
              <w:rPr>
                <w:color w:val="000000"/>
              </w:rPr>
            </w:pPr>
            <w:r>
              <w:rPr>
                <w:color w:val="000000"/>
              </w:rPr>
              <w:t>1,363,580</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left w:val="single" w:sz="12" w:space="0" w:color="000000"/>
            </w:tcBorders>
            <w:shd w:fill="CCEEFF" w:val="clear"/>
            <w:tcMar>
              <w:top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1100" w:type="dxa"/>
            <w:tcBorders/>
            <w:shd w:fill="CCEEFF" w:val="clear"/>
            <w:tcMar>
              <w:top w:w="0" w:type="dxa"/>
              <w:left w:w="0" w:type="dxa"/>
            </w:tcMar>
            <w:vAlign w:val="bottom"/>
          </w:tcPr>
          <w:p>
            <w:pPr>
              <w:pStyle w:val="TableContents"/>
              <w:bidi w:val="0"/>
              <w:spacing w:before="0" w:after="0"/>
              <w:jc w:val="right"/>
              <w:rPr>
                <w:color w:val="000000"/>
              </w:rPr>
            </w:pPr>
            <w:r>
              <w:rPr>
                <w:color w:val="000000"/>
              </w:rPr>
              <w:t>26,267,598</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301" w:type="dxa"/>
            <w:tcBorders/>
            <w:shd w:fill="CCEEFF" w:val="clear"/>
            <w:tcMar>
              <w:top w:w="0" w:type="dxa"/>
              <w:left w:w="0" w:type="dxa"/>
            </w:tcMar>
            <w:vAlign w:val="bottom"/>
          </w:tcPr>
          <w:p>
            <w:pPr>
              <w:pStyle w:val="TableContents"/>
              <w:bidi w:val="0"/>
              <w:spacing w:before="0" w:after="0"/>
              <w:jc w:val="left"/>
              <w:rPr>
                <w:color w:val="000000"/>
              </w:rPr>
            </w:pPr>
            <w:r>
              <w:rPr>
                <w:color w:val="000000"/>
              </w:rPr>
              <w:t>$</w:t>
            </w:r>
          </w:p>
        </w:tc>
        <w:tc>
          <w:tcPr>
            <w:tcW w:w="559" w:type="dxa"/>
            <w:tcBorders/>
            <w:shd w:fill="CCEEFF" w:val="clear"/>
            <w:tcMar>
              <w:top w:w="0" w:type="dxa"/>
              <w:left w:w="0" w:type="dxa"/>
            </w:tcMar>
            <w:vAlign w:val="bottom"/>
          </w:tcPr>
          <w:p>
            <w:pPr>
              <w:pStyle w:val="TableContents"/>
              <w:bidi w:val="0"/>
              <w:spacing w:before="0" w:after="0"/>
              <w:jc w:val="right"/>
              <w:rPr>
                <w:color w:val="000000"/>
              </w:rPr>
            </w:pPr>
            <w:r>
              <w:rPr>
                <w:color w:val="000000"/>
              </w:rPr>
              <w:t>3</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187" w:type="dxa"/>
            <w:tcBorders/>
            <w:shd w:fill="CCEEFF" w:val="clear"/>
            <w:tcMar>
              <w:top w:w="0" w:type="dxa"/>
              <w:left w:w="0" w:type="dxa"/>
            </w:tcMar>
            <w:vAlign w:val="bottom"/>
          </w:tcPr>
          <w:p>
            <w:pPr>
              <w:pStyle w:val="TableContents"/>
              <w:bidi w:val="0"/>
              <w:spacing w:before="0" w:after="0"/>
              <w:jc w:val="left"/>
              <w:rPr>
                <w:color w:val="000000"/>
              </w:rPr>
            </w:pPr>
            <w:r>
              <w:rPr>
                <w:color w:val="000000"/>
              </w:rPr>
              <w:t>$</w:t>
            </w:r>
          </w:p>
        </w:tc>
        <w:tc>
          <w:tcPr>
            <w:tcW w:w="913" w:type="dxa"/>
            <w:tcBorders/>
            <w:shd w:fill="CCEEFF" w:val="clear"/>
            <w:tcMar>
              <w:top w:w="0" w:type="dxa"/>
              <w:left w:w="0" w:type="dxa"/>
            </w:tcMar>
            <w:vAlign w:val="bottom"/>
          </w:tcPr>
          <w:p>
            <w:pPr>
              <w:pStyle w:val="TableContents"/>
              <w:bidi w:val="0"/>
              <w:spacing w:before="0" w:after="0"/>
              <w:jc w:val="right"/>
              <w:rPr>
                <w:color w:val="000000"/>
              </w:rPr>
            </w:pPr>
            <w:r>
              <w:rPr>
                <w:color w:val="000000"/>
              </w:rPr>
              <w:t>86,737</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563" w:type="dxa"/>
            <w:tcBorders/>
            <w:shd w:fill="CCEEFF" w:val="clear"/>
            <w:tcMar>
              <w:top w:w="0" w:type="dxa"/>
              <w:left w:w="0" w:type="dxa"/>
            </w:tcMar>
            <w:vAlign w:val="bottom"/>
          </w:tcPr>
          <w:p>
            <w:pPr>
              <w:pStyle w:val="TableContents"/>
              <w:bidi w:val="0"/>
              <w:spacing w:before="0" w:after="0"/>
              <w:jc w:val="left"/>
              <w:rPr>
                <w:color w:val="000000"/>
              </w:rPr>
            </w:pPr>
            <w:r>
              <w:rPr>
                <w:color w:val="000000"/>
              </w:rPr>
              <w:t>$</w:t>
            </w:r>
          </w:p>
        </w:tc>
        <w:tc>
          <w:tcPr>
            <w:tcW w:w="1047" w:type="dxa"/>
            <w:tcBorders/>
            <w:shd w:fill="CCEEFF" w:val="clear"/>
            <w:tcMar>
              <w:top w:w="0" w:type="dxa"/>
              <w:left w:w="0" w:type="dxa"/>
            </w:tcMar>
            <w:vAlign w:val="bottom"/>
          </w:tcPr>
          <w:p>
            <w:pPr>
              <w:pStyle w:val="TableContents"/>
              <w:bidi w:val="0"/>
              <w:spacing w:before="0" w:after="0"/>
              <w:jc w:val="right"/>
              <w:rPr>
                <w:color w:val="000000"/>
              </w:rPr>
            </w:pPr>
            <w:r>
              <w:rPr>
                <w:color w:val="000000"/>
              </w:rPr>
              <w:t>26</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160" w:type="dxa"/>
            <w:tcBorders/>
            <w:shd w:fill="CCEEFF" w:val="clear"/>
            <w:tcMar>
              <w:top w:w="0" w:type="dxa"/>
              <w:left w:w="0" w:type="dxa"/>
            </w:tcMar>
            <w:vAlign w:val="bottom"/>
          </w:tcPr>
          <w:p>
            <w:pPr>
              <w:pStyle w:val="TableContents"/>
              <w:bidi w:val="0"/>
              <w:spacing w:before="0" w:after="0"/>
              <w:jc w:val="left"/>
              <w:rPr>
                <w:color w:val="000000"/>
              </w:rPr>
            </w:pPr>
            <w:r>
              <w:rPr>
                <w:color w:val="000000"/>
              </w:rPr>
              <w:t>$</w:t>
            </w:r>
          </w:p>
        </w:tc>
        <w:tc>
          <w:tcPr>
            <w:tcW w:w="1210" w:type="dxa"/>
            <w:tcBorders/>
            <w:shd w:fill="CCEEFF" w:val="clear"/>
            <w:tcMar>
              <w:top w:w="0" w:type="dxa"/>
              <w:left w:w="0" w:type="dxa"/>
            </w:tcMar>
            <w:vAlign w:val="bottom"/>
          </w:tcPr>
          <w:p>
            <w:pPr>
              <w:pStyle w:val="TableContents"/>
              <w:bidi w:val="0"/>
              <w:spacing w:before="0" w:after="0"/>
              <w:jc w:val="right"/>
              <w:rPr>
                <w:color w:val="000000"/>
              </w:rPr>
            </w:pPr>
            <w:r>
              <w:rPr>
                <w:color w:val="000000"/>
              </w:rPr>
              <w:t>(1,410,664</w:t>
            </w:r>
          </w:p>
        </w:tc>
        <w:tc>
          <w:tcPr>
            <w:tcW w:w="95" w:type="dxa"/>
            <w:tcBorders/>
            <w:shd w:fill="CCEEFF" w:val="clear"/>
            <w:tcMar>
              <w:top w:w="0" w:type="dxa"/>
              <w:left w:w="0" w:type="dxa"/>
            </w:tcMar>
            <w:vAlign w:val="bottom"/>
          </w:tcPr>
          <w:p>
            <w:pPr>
              <w:pStyle w:val="TableContents"/>
              <w:bidi w:val="0"/>
              <w:spacing w:before="0" w:after="0"/>
              <w:jc w:val="left"/>
              <w:rPr>
                <w:color w:val="000000"/>
              </w:rPr>
            </w:pPr>
            <w:r>
              <w:rPr>
                <w:color w:val="000000"/>
              </w:rPr>
              <w:t>)</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156" w:type="dxa"/>
            <w:tcBorders/>
            <w:shd w:fill="CCEEFF" w:val="clear"/>
            <w:tcMar>
              <w:top w:w="0" w:type="dxa"/>
              <w:left w:w="0" w:type="dxa"/>
            </w:tcMar>
            <w:vAlign w:val="bottom"/>
          </w:tcPr>
          <w:p>
            <w:pPr>
              <w:pStyle w:val="TableContents"/>
              <w:bidi w:val="0"/>
              <w:spacing w:before="0" w:after="0"/>
              <w:jc w:val="left"/>
              <w:rPr>
                <w:color w:val="000000"/>
              </w:rPr>
            </w:pPr>
            <w:r>
              <w:rPr>
                <w:color w:val="000000"/>
              </w:rPr>
              <w:t>$</w:t>
            </w:r>
          </w:p>
        </w:tc>
        <w:tc>
          <w:tcPr>
            <w:tcW w:w="1184" w:type="dxa"/>
            <w:tcBorders/>
            <w:shd w:fill="CCEEFF" w:val="clear"/>
            <w:tcMar>
              <w:top w:w="0" w:type="dxa"/>
              <w:left w:w="0" w:type="dxa"/>
            </w:tcMar>
            <w:vAlign w:val="bottom"/>
          </w:tcPr>
          <w:p>
            <w:pPr>
              <w:pStyle w:val="TableContents"/>
              <w:bidi w:val="0"/>
              <w:spacing w:before="0" w:after="0"/>
              <w:jc w:val="right"/>
              <w:rPr>
                <w:color w:val="000000"/>
              </w:rPr>
            </w:pPr>
            <w:r>
              <w:rPr>
                <w:color w:val="000000"/>
              </w:rPr>
              <w:t>(1,323,898</w:t>
            </w:r>
          </w:p>
        </w:tc>
        <w:tc>
          <w:tcPr>
            <w:tcW w:w="95" w:type="dxa"/>
            <w:tcBorders>
              <w:right w:val="single" w:sz="12" w:space="0" w:color="000000"/>
            </w:tcBorders>
            <w:shd w:fill="CCEEFF" w:val="clear"/>
            <w:tcMar>
              <w:top w:w="0" w:type="dxa"/>
              <w:left w:w="0" w:type="dxa"/>
              <w:right w:w="28" w:type="dxa"/>
            </w:tcMar>
            <w:vAlign w:val="bottom"/>
          </w:tcPr>
          <w:p>
            <w:pPr>
              <w:pStyle w:val="TableContents"/>
              <w:bidi w:val="0"/>
              <w:spacing w:before="0" w:after="0"/>
              <w:jc w:val="left"/>
              <w:rPr>
                <w:color w:val="000000"/>
              </w:rPr>
            </w:pPr>
            <w:r>
              <w:rPr>
                <w:color w:val="000000"/>
              </w:rPr>
              <w:t>)</w:t>
            </w:r>
          </w:p>
        </w:tc>
      </w:tr>
      <w:tr>
        <w:trPr/>
        <w:tc>
          <w:tcPr>
            <w:tcW w:w="4415" w:type="dxa"/>
            <w:tcBorders>
              <w:left w:val="single" w:sz="12" w:space="0" w:color="000000"/>
            </w:tcBorders>
            <w:tcMar>
              <w:top w:w="0" w:type="dxa"/>
            </w:tcMar>
            <w:vAlign w:val="bottom"/>
          </w:tcPr>
          <w:p>
            <w:pPr>
              <w:pStyle w:val="TableContents"/>
              <w:bidi w:val="0"/>
              <w:spacing w:before="0" w:after="0"/>
              <w:ind w:left="144" w:right="0" w:hanging="144"/>
              <w:jc w:val="left"/>
              <w:rPr>
                <w:color w:val="000000"/>
              </w:rPr>
            </w:pPr>
            <w:r>
              <w:rPr>
                <w:color w:val="000000"/>
              </w:rPr>
              <w:t>Stock-based compensation expense</w:t>
            </w:r>
          </w:p>
        </w:tc>
        <w:tc>
          <w:tcPr>
            <w:tcW w:w="60" w:type="dxa"/>
            <w:tcBorders/>
            <w:tcMar>
              <w:top w:w="0" w:type="dxa"/>
              <w:left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1220" w:type="dxa"/>
            <w:tcBorders/>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tcMar>
              <w:top w:w="0" w:type="dxa"/>
              <w:left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140" w:type="dxa"/>
            <w:tcBorders/>
            <w:tcMar>
              <w:top w:w="0" w:type="dxa"/>
              <w:left w:w="0" w:type="dxa"/>
            </w:tcMar>
            <w:vAlign w:val="bottom"/>
          </w:tcPr>
          <w:p>
            <w:pPr>
              <w:pStyle w:val="TableContents"/>
              <w:bidi w:val="0"/>
              <w:spacing w:before="0" w:after="283"/>
              <w:jc w:val="left"/>
              <w:rPr/>
            </w:pPr>
            <w:r>
              <w:rPr/>
              <w:t> </w:t>
            </w:r>
          </w:p>
        </w:tc>
        <w:tc>
          <w:tcPr>
            <w:tcW w:w="980" w:type="dxa"/>
            <w:tcBorders/>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tcMar>
              <w:top w:w="0" w:type="dxa"/>
              <w:left w:w="0" w:type="dxa"/>
            </w:tcMar>
            <w:vAlign w:val="bottom"/>
          </w:tcPr>
          <w:p>
            <w:pPr>
              <w:pStyle w:val="TableContents"/>
              <w:bidi w:val="0"/>
              <w:spacing w:before="0" w:after="283"/>
              <w:jc w:val="left"/>
              <w:rPr/>
            </w:pPr>
            <w:r>
              <w:rPr/>
              <w:t> </w:t>
            </w:r>
          </w:p>
        </w:tc>
        <w:tc>
          <w:tcPr>
            <w:tcW w:w="60" w:type="dxa"/>
            <w:tcBorders>
              <w:left w:val="single" w:sz="12" w:space="0" w:color="000000"/>
            </w:tcBorders>
            <w:tcMar>
              <w:top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1100" w:type="dxa"/>
            <w:tcBorders/>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tcMar>
              <w:top w:w="0" w:type="dxa"/>
              <w:left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301" w:type="dxa"/>
            <w:tcBorders/>
            <w:tcMar>
              <w:top w:w="0" w:type="dxa"/>
              <w:left w:w="0" w:type="dxa"/>
            </w:tcMar>
            <w:vAlign w:val="bottom"/>
          </w:tcPr>
          <w:p>
            <w:pPr>
              <w:pStyle w:val="TableContents"/>
              <w:bidi w:val="0"/>
              <w:spacing w:before="0" w:after="283"/>
              <w:jc w:val="left"/>
              <w:rPr/>
            </w:pPr>
            <w:r>
              <w:rPr/>
              <w:t> </w:t>
            </w:r>
          </w:p>
        </w:tc>
        <w:tc>
          <w:tcPr>
            <w:tcW w:w="559" w:type="dxa"/>
            <w:tcBorders/>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tcMar>
              <w:top w:w="0" w:type="dxa"/>
              <w:left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187" w:type="dxa"/>
            <w:tcBorders/>
            <w:tcMar>
              <w:top w:w="0" w:type="dxa"/>
              <w:left w:w="0" w:type="dxa"/>
            </w:tcMar>
            <w:vAlign w:val="bottom"/>
          </w:tcPr>
          <w:p>
            <w:pPr>
              <w:pStyle w:val="TableContents"/>
              <w:bidi w:val="0"/>
              <w:spacing w:before="0" w:after="283"/>
              <w:jc w:val="left"/>
              <w:rPr/>
            </w:pPr>
            <w:r>
              <w:rPr/>
              <w:t> </w:t>
            </w:r>
          </w:p>
        </w:tc>
        <w:tc>
          <w:tcPr>
            <w:tcW w:w="913" w:type="dxa"/>
            <w:tcBorders/>
            <w:tcMar>
              <w:top w:w="0" w:type="dxa"/>
              <w:left w:w="0" w:type="dxa"/>
            </w:tcMar>
            <w:vAlign w:val="bottom"/>
          </w:tcPr>
          <w:p>
            <w:pPr>
              <w:pStyle w:val="TableContents"/>
              <w:bidi w:val="0"/>
              <w:spacing w:before="0" w:after="0"/>
              <w:jc w:val="right"/>
              <w:rPr>
                <w:color w:val="000000"/>
              </w:rPr>
            </w:pPr>
            <w:r>
              <w:rPr>
                <w:color w:val="000000"/>
              </w:rPr>
              <w:t>2,734</w:t>
            </w:r>
          </w:p>
        </w:tc>
        <w:tc>
          <w:tcPr>
            <w:tcW w:w="60" w:type="dxa"/>
            <w:tcBorders/>
            <w:tcMar>
              <w:top w:w="0" w:type="dxa"/>
              <w:left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563" w:type="dxa"/>
            <w:tcBorders/>
            <w:tcMar>
              <w:top w:w="0" w:type="dxa"/>
              <w:left w:w="0" w:type="dxa"/>
            </w:tcMar>
            <w:vAlign w:val="bottom"/>
          </w:tcPr>
          <w:p>
            <w:pPr>
              <w:pStyle w:val="TableContents"/>
              <w:bidi w:val="0"/>
              <w:spacing w:before="0" w:after="283"/>
              <w:jc w:val="left"/>
              <w:rPr/>
            </w:pPr>
            <w:r>
              <w:rPr/>
              <w:t> </w:t>
            </w:r>
          </w:p>
        </w:tc>
        <w:tc>
          <w:tcPr>
            <w:tcW w:w="1047" w:type="dxa"/>
            <w:tcBorders/>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tcMar>
              <w:top w:w="0" w:type="dxa"/>
              <w:left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160" w:type="dxa"/>
            <w:tcBorders/>
            <w:tcMar>
              <w:top w:w="0" w:type="dxa"/>
              <w:left w:w="0" w:type="dxa"/>
            </w:tcMar>
            <w:vAlign w:val="bottom"/>
          </w:tcPr>
          <w:p>
            <w:pPr>
              <w:pStyle w:val="TableContents"/>
              <w:bidi w:val="0"/>
              <w:spacing w:before="0" w:after="283"/>
              <w:jc w:val="left"/>
              <w:rPr/>
            </w:pPr>
            <w:r>
              <w:rPr/>
              <w:t> </w:t>
            </w:r>
          </w:p>
        </w:tc>
        <w:tc>
          <w:tcPr>
            <w:tcW w:w="1210" w:type="dxa"/>
            <w:tcBorders/>
            <w:tcMar>
              <w:top w:w="0" w:type="dxa"/>
              <w:left w:w="0" w:type="dxa"/>
            </w:tcMar>
            <w:vAlign w:val="bottom"/>
          </w:tcPr>
          <w:p>
            <w:pPr>
              <w:pStyle w:val="TableContents"/>
              <w:bidi w:val="0"/>
              <w:spacing w:before="0" w:after="0"/>
              <w:jc w:val="right"/>
              <w:rPr>
                <w:color w:val="000000"/>
              </w:rPr>
            </w:pPr>
            <w:r>
              <w:rPr>
                <w:color w:val="000000"/>
              </w:rPr>
              <w:t>—</w:t>
            </w:r>
          </w:p>
        </w:tc>
        <w:tc>
          <w:tcPr>
            <w:tcW w:w="95" w:type="dxa"/>
            <w:tcBorders/>
            <w:tcMar>
              <w:top w:w="0" w:type="dxa"/>
              <w:left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156" w:type="dxa"/>
            <w:tcBorders/>
            <w:tcMar>
              <w:top w:w="0" w:type="dxa"/>
              <w:left w:w="0" w:type="dxa"/>
            </w:tcMar>
            <w:vAlign w:val="bottom"/>
          </w:tcPr>
          <w:p>
            <w:pPr>
              <w:pStyle w:val="TableContents"/>
              <w:bidi w:val="0"/>
              <w:spacing w:before="0" w:after="283"/>
              <w:jc w:val="left"/>
              <w:rPr/>
            </w:pPr>
            <w:r>
              <w:rPr/>
              <w:t> </w:t>
            </w:r>
          </w:p>
        </w:tc>
        <w:tc>
          <w:tcPr>
            <w:tcW w:w="1184" w:type="dxa"/>
            <w:tcBorders/>
            <w:tcMar>
              <w:top w:w="0" w:type="dxa"/>
              <w:left w:w="0" w:type="dxa"/>
            </w:tcMar>
            <w:vAlign w:val="bottom"/>
          </w:tcPr>
          <w:p>
            <w:pPr>
              <w:pStyle w:val="TableContents"/>
              <w:bidi w:val="0"/>
              <w:spacing w:before="0" w:after="0"/>
              <w:jc w:val="right"/>
              <w:rPr>
                <w:color w:val="000000"/>
              </w:rPr>
            </w:pPr>
            <w:r>
              <w:rPr>
                <w:color w:val="000000"/>
              </w:rPr>
              <w:t>2,734</w:t>
            </w:r>
          </w:p>
        </w:tc>
        <w:tc>
          <w:tcPr>
            <w:tcW w:w="95" w:type="dxa"/>
            <w:tcBorders>
              <w:right w:val="single" w:sz="12" w:space="0" w:color="000000"/>
            </w:tcBorders>
            <w:tcMar>
              <w:top w:w="0" w:type="dxa"/>
              <w:left w:w="0" w:type="dxa"/>
              <w:right w:w="28" w:type="dxa"/>
            </w:tcMar>
            <w:vAlign w:val="bottom"/>
          </w:tcPr>
          <w:p>
            <w:pPr>
              <w:pStyle w:val="TableContents"/>
              <w:bidi w:val="0"/>
              <w:spacing w:before="0" w:after="283"/>
              <w:jc w:val="left"/>
              <w:rPr/>
            </w:pPr>
            <w:r>
              <w:rPr/>
              <w:t> </w:t>
            </w:r>
          </w:p>
        </w:tc>
      </w:tr>
      <w:tr>
        <w:trPr/>
        <w:tc>
          <w:tcPr>
            <w:tcW w:w="4415" w:type="dxa"/>
            <w:tcBorders>
              <w:left w:val="single" w:sz="12" w:space="0" w:color="000000"/>
            </w:tcBorders>
            <w:shd w:fill="CCEEFF" w:val="clear"/>
            <w:tcMar>
              <w:top w:w="0" w:type="dxa"/>
            </w:tcMar>
            <w:vAlign w:val="bottom"/>
          </w:tcPr>
          <w:p>
            <w:pPr>
              <w:pStyle w:val="TableContents"/>
              <w:bidi w:val="0"/>
              <w:spacing w:before="0" w:after="0"/>
              <w:ind w:left="144" w:right="0" w:hanging="144"/>
              <w:jc w:val="left"/>
              <w:rPr>
                <w:color w:val="000000"/>
              </w:rPr>
            </w:pPr>
            <w:r>
              <w:rPr>
                <w:color w:val="000000"/>
              </w:rPr>
              <w:t>Unrealized gain on available for-sale securities</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1220" w:type="dxa"/>
            <w:tcBorders/>
            <w:shd w:fill="CCEEFF" w:val="clear"/>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140" w:type="dxa"/>
            <w:tcBorders/>
            <w:shd w:fill="CCEEFF" w:val="clear"/>
            <w:tcMar>
              <w:top w:w="0" w:type="dxa"/>
              <w:left w:w="0" w:type="dxa"/>
            </w:tcMar>
            <w:vAlign w:val="bottom"/>
          </w:tcPr>
          <w:p>
            <w:pPr>
              <w:pStyle w:val="TableContents"/>
              <w:bidi w:val="0"/>
              <w:spacing w:before="0" w:after="283"/>
              <w:jc w:val="left"/>
              <w:rPr/>
            </w:pPr>
            <w:r>
              <w:rPr/>
              <w:t> </w:t>
            </w:r>
          </w:p>
        </w:tc>
        <w:tc>
          <w:tcPr>
            <w:tcW w:w="980" w:type="dxa"/>
            <w:tcBorders/>
            <w:shd w:fill="CCEEFF" w:val="clear"/>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left w:val="single" w:sz="12" w:space="0" w:color="000000"/>
            </w:tcBorders>
            <w:shd w:fill="CCEEFF" w:val="clear"/>
            <w:tcMar>
              <w:top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1100" w:type="dxa"/>
            <w:tcBorders/>
            <w:shd w:fill="CCEEFF" w:val="clear"/>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301" w:type="dxa"/>
            <w:tcBorders/>
            <w:shd w:fill="CCEEFF" w:val="clear"/>
            <w:tcMar>
              <w:top w:w="0" w:type="dxa"/>
              <w:left w:w="0" w:type="dxa"/>
            </w:tcMar>
            <w:vAlign w:val="bottom"/>
          </w:tcPr>
          <w:p>
            <w:pPr>
              <w:pStyle w:val="TableContents"/>
              <w:bidi w:val="0"/>
              <w:spacing w:before="0" w:after="283"/>
              <w:jc w:val="left"/>
              <w:rPr/>
            </w:pPr>
            <w:r>
              <w:rPr/>
              <w:t> </w:t>
            </w:r>
          </w:p>
        </w:tc>
        <w:tc>
          <w:tcPr>
            <w:tcW w:w="559" w:type="dxa"/>
            <w:tcBorders/>
            <w:shd w:fill="CCEEFF" w:val="clear"/>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187" w:type="dxa"/>
            <w:tcBorders/>
            <w:shd w:fill="CCEEFF" w:val="clear"/>
            <w:tcMar>
              <w:top w:w="0" w:type="dxa"/>
              <w:left w:w="0" w:type="dxa"/>
            </w:tcMar>
            <w:vAlign w:val="bottom"/>
          </w:tcPr>
          <w:p>
            <w:pPr>
              <w:pStyle w:val="TableContents"/>
              <w:bidi w:val="0"/>
              <w:spacing w:before="0" w:after="283"/>
              <w:jc w:val="left"/>
              <w:rPr/>
            </w:pPr>
            <w:r>
              <w:rPr/>
              <w:t> </w:t>
            </w:r>
          </w:p>
        </w:tc>
        <w:tc>
          <w:tcPr>
            <w:tcW w:w="913" w:type="dxa"/>
            <w:tcBorders/>
            <w:shd w:fill="CCEEFF" w:val="clear"/>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563" w:type="dxa"/>
            <w:tcBorders/>
            <w:shd w:fill="CCEEFF" w:val="clear"/>
            <w:tcMar>
              <w:top w:w="0" w:type="dxa"/>
              <w:left w:w="0" w:type="dxa"/>
            </w:tcMar>
            <w:vAlign w:val="bottom"/>
          </w:tcPr>
          <w:p>
            <w:pPr>
              <w:pStyle w:val="TableContents"/>
              <w:bidi w:val="0"/>
              <w:spacing w:before="0" w:after="283"/>
              <w:jc w:val="left"/>
              <w:rPr/>
            </w:pPr>
            <w:r>
              <w:rPr/>
              <w:t> </w:t>
            </w:r>
          </w:p>
        </w:tc>
        <w:tc>
          <w:tcPr>
            <w:tcW w:w="1047" w:type="dxa"/>
            <w:tcBorders/>
            <w:shd w:fill="CCEEFF" w:val="clear"/>
            <w:tcMar>
              <w:top w:w="0" w:type="dxa"/>
              <w:left w:w="0" w:type="dxa"/>
            </w:tcMar>
            <w:vAlign w:val="bottom"/>
          </w:tcPr>
          <w:p>
            <w:pPr>
              <w:pStyle w:val="TableContents"/>
              <w:bidi w:val="0"/>
              <w:spacing w:before="0" w:after="0"/>
              <w:jc w:val="right"/>
              <w:rPr>
                <w:color w:val="000000"/>
              </w:rPr>
            </w:pPr>
            <w:r>
              <w:rPr>
                <w:color w:val="000000"/>
              </w:rPr>
              <w:t>2</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160" w:type="dxa"/>
            <w:tcBorders/>
            <w:shd w:fill="CCEEFF" w:val="clear"/>
            <w:tcMar>
              <w:top w:w="0" w:type="dxa"/>
              <w:left w:w="0" w:type="dxa"/>
            </w:tcMar>
            <w:vAlign w:val="bottom"/>
          </w:tcPr>
          <w:p>
            <w:pPr>
              <w:pStyle w:val="TableContents"/>
              <w:bidi w:val="0"/>
              <w:spacing w:before="0" w:after="283"/>
              <w:jc w:val="left"/>
              <w:rPr/>
            </w:pPr>
            <w:r>
              <w:rPr/>
              <w:t> </w:t>
            </w:r>
          </w:p>
        </w:tc>
        <w:tc>
          <w:tcPr>
            <w:tcW w:w="1210" w:type="dxa"/>
            <w:tcBorders/>
            <w:shd w:fill="CCEEFF" w:val="clear"/>
            <w:tcMar>
              <w:top w:w="0" w:type="dxa"/>
              <w:left w:w="0" w:type="dxa"/>
            </w:tcMar>
            <w:vAlign w:val="bottom"/>
          </w:tcPr>
          <w:p>
            <w:pPr>
              <w:pStyle w:val="TableContents"/>
              <w:bidi w:val="0"/>
              <w:spacing w:before="0" w:after="0"/>
              <w:jc w:val="right"/>
              <w:rPr>
                <w:color w:val="000000"/>
              </w:rPr>
            </w:pPr>
            <w:r>
              <w:rPr>
                <w:color w:val="000000"/>
              </w:rPr>
              <w:t>—</w:t>
            </w:r>
          </w:p>
        </w:tc>
        <w:tc>
          <w:tcPr>
            <w:tcW w:w="95"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156" w:type="dxa"/>
            <w:tcBorders/>
            <w:shd w:fill="CCEEFF" w:val="clear"/>
            <w:tcMar>
              <w:top w:w="0" w:type="dxa"/>
              <w:left w:w="0" w:type="dxa"/>
            </w:tcMar>
            <w:vAlign w:val="bottom"/>
          </w:tcPr>
          <w:p>
            <w:pPr>
              <w:pStyle w:val="TableContents"/>
              <w:bidi w:val="0"/>
              <w:spacing w:before="0" w:after="283"/>
              <w:jc w:val="left"/>
              <w:rPr/>
            </w:pPr>
            <w:r>
              <w:rPr/>
              <w:t> </w:t>
            </w:r>
          </w:p>
        </w:tc>
        <w:tc>
          <w:tcPr>
            <w:tcW w:w="1184" w:type="dxa"/>
            <w:tcBorders/>
            <w:shd w:fill="CCEEFF" w:val="clear"/>
            <w:tcMar>
              <w:top w:w="0" w:type="dxa"/>
              <w:left w:w="0" w:type="dxa"/>
            </w:tcMar>
            <w:vAlign w:val="bottom"/>
          </w:tcPr>
          <w:p>
            <w:pPr>
              <w:pStyle w:val="TableContents"/>
              <w:bidi w:val="0"/>
              <w:spacing w:before="0" w:after="0"/>
              <w:jc w:val="right"/>
              <w:rPr>
                <w:color w:val="000000"/>
              </w:rPr>
            </w:pPr>
            <w:r>
              <w:rPr>
                <w:color w:val="000000"/>
              </w:rPr>
              <w:t>2</w:t>
            </w:r>
          </w:p>
        </w:tc>
        <w:tc>
          <w:tcPr>
            <w:tcW w:w="95" w:type="dxa"/>
            <w:tcBorders>
              <w:right w:val="single" w:sz="12" w:space="0" w:color="000000"/>
            </w:tcBorders>
            <w:shd w:fill="CCEEFF" w:val="clear"/>
            <w:tcMar>
              <w:top w:w="0" w:type="dxa"/>
              <w:left w:w="0" w:type="dxa"/>
              <w:right w:w="28" w:type="dxa"/>
            </w:tcMar>
            <w:vAlign w:val="bottom"/>
          </w:tcPr>
          <w:p>
            <w:pPr>
              <w:pStyle w:val="TableContents"/>
              <w:bidi w:val="0"/>
              <w:spacing w:before="0" w:after="283"/>
              <w:jc w:val="left"/>
              <w:rPr/>
            </w:pPr>
            <w:r>
              <w:rPr/>
              <w:t> </w:t>
            </w:r>
          </w:p>
        </w:tc>
      </w:tr>
      <w:tr>
        <w:trPr/>
        <w:tc>
          <w:tcPr>
            <w:tcW w:w="4415" w:type="dxa"/>
            <w:tcBorders>
              <w:left w:val="single" w:sz="12" w:space="0" w:color="000000"/>
            </w:tcBorders>
            <w:tcMar>
              <w:top w:w="0" w:type="dxa"/>
            </w:tcMar>
            <w:vAlign w:val="bottom"/>
          </w:tcPr>
          <w:p>
            <w:pPr>
              <w:pStyle w:val="TableContents"/>
              <w:bidi w:val="0"/>
              <w:spacing w:before="0" w:after="0"/>
              <w:ind w:left="144" w:right="0" w:hanging="144"/>
              <w:jc w:val="left"/>
              <w:rPr>
                <w:color w:val="000000"/>
              </w:rPr>
            </w:pPr>
            <w:r>
              <w:rPr>
                <w:color w:val="000000"/>
              </w:rPr>
              <w:t>Net loss</w:t>
            </w:r>
          </w:p>
        </w:tc>
        <w:tc>
          <w:tcPr>
            <w:tcW w:w="60" w:type="dxa"/>
            <w:tcBorders/>
            <w:tcMar>
              <w:top w:w="0" w:type="dxa"/>
              <w:left w:w="0" w:type="dxa"/>
            </w:tcMar>
            <w:vAlign w:val="bottom"/>
          </w:tcPr>
          <w:p>
            <w:pPr>
              <w:pStyle w:val="TableContents"/>
              <w:bidi w:val="0"/>
              <w:spacing w:before="0" w:after="283"/>
              <w:jc w:val="left"/>
              <w:rPr/>
            </w:pPr>
            <w:r>
              <w:rPr/>
              <w:t> </w:t>
            </w:r>
          </w:p>
        </w:tc>
        <w:tc>
          <w:tcPr>
            <w:tcW w:w="60" w:type="dxa"/>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1220" w:type="dxa"/>
            <w:tcBorders>
              <w:bottom w:val="single" w:sz="12" w:space="0" w:color="000000"/>
            </w:tcBorders>
            <w:tcMar>
              <w:top w:w="0" w:type="dxa"/>
              <w:left w:w="0" w:type="dxa"/>
              <w:bottom w:w="28" w:type="dxa"/>
            </w:tcMar>
            <w:vAlign w:val="bottom"/>
          </w:tcPr>
          <w:p>
            <w:pPr>
              <w:pStyle w:val="TableContents"/>
              <w:bidi w:val="0"/>
              <w:spacing w:before="0" w:after="0"/>
              <w:jc w:val="right"/>
              <w:rPr>
                <w:color w:val="000000"/>
              </w:rPr>
            </w:pPr>
            <w:r>
              <w:rPr>
                <w:color w:val="000000"/>
              </w:rPr>
              <w:t>—</w:t>
            </w:r>
          </w:p>
        </w:tc>
        <w:tc>
          <w:tcPr>
            <w:tcW w:w="60" w:type="dxa"/>
            <w:tcBorders/>
            <w:tcMar>
              <w:top w:w="0" w:type="dxa"/>
              <w:left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140" w:type="dxa"/>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top w:w="0" w:type="dxa"/>
              <w:left w:w="0" w:type="dxa"/>
              <w:bottom w:w="28" w:type="dxa"/>
            </w:tcMar>
            <w:vAlign w:val="bottom"/>
          </w:tcPr>
          <w:p>
            <w:pPr>
              <w:pStyle w:val="TableContents"/>
              <w:bidi w:val="0"/>
              <w:spacing w:before="0" w:after="0"/>
              <w:jc w:val="right"/>
              <w:rPr>
                <w:color w:val="000000"/>
              </w:rPr>
            </w:pPr>
            <w:r>
              <w:rPr>
                <w:color w:val="000000"/>
              </w:rPr>
              <w:t>—</w:t>
            </w:r>
          </w:p>
        </w:tc>
        <w:tc>
          <w:tcPr>
            <w:tcW w:w="60" w:type="dxa"/>
            <w:tcBorders/>
            <w:tcMar>
              <w:top w:w="0" w:type="dxa"/>
              <w:left w:w="0" w:type="dxa"/>
            </w:tcMar>
            <w:vAlign w:val="bottom"/>
          </w:tcPr>
          <w:p>
            <w:pPr>
              <w:pStyle w:val="TableContents"/>
              <w:bidi w:val="0"/>
              <w:spacing w:before="0" w:after="283"/>
              <w:jc w:val="left"/>
              <w:rPr/>
            </w:pPr>
            <w:r>
              <w:rPr/>
              <w:t> </w:t>
            </w:r>
          </w:p>
        </w:tc>
        <w:tc>
          <w:tcPr>
            <w:tcW w:w="60" w:type="dxa"/>
            <w:tcBorders>
              <w:left w:val="single" w:sz="12" w:space="0" w:color="000000"/>
            </w:tcBorders>
            <w:tcMar>
              <w:top w:w="0" w:type="dxa"/>
            </w:tcMar>
            <w:vAlign w:val="bottom"/>
          </w:tcPr>
          <w:p>
            <w:pPr>
              <w:pStyle w:val="TableContents"/>
              <w:bidi w:val="0"/>
              <w:spacing w:before="0" w:after="283"/>
              <w:jc w:val="left"/>
              <w:rPr/>
            </w:pPr>
            <w:r>
              <w:rPr/>
              <w:t> </w:t>
            </w:r>
          </w:p>
        </w:tc>
        <w:tc>
          <w:tcPr>
            <w:tcW w:w="60" w:type="dxa"/>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top w:w="0" w:type="dxa"/>
              <w:left w:w="0" w:type="dxa"/>
              <w:bottom w:w="28" w:type="dxa"/>
            </w:tcMar>
            <w:vAlign w:val="bottom"/>
          </w:tcPr>
          <w:p>
            <w:pPr>
              <w:pStyle w:val="TableContents"/>
              <w:bidi w:val="0"/>
              <w:spacing w:before="0" w:after="0"/>
              <w:jc w:val="right"/>
              <w:rPr>
                <w:color w:val="000000"/>
              </w:rPr>
            </w:pPr>
            <w:r>
              <w:rPr>
                <w:color w:val="000000"/>
              </w:rPr>
              <w:t>—</w:t>
            </w:r>
          </w:p>
        </w:tc>
        <w:tc>
          <w:tcPr>
            <w:tcW w:w="60" w:type="dxa"/>
            <w:tcBorders/>
            <w:tcMar>
              <w:top w:w="0" w:type="dxa"/>
              <w:left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301" w:type="dxa"/>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559" w:type="dxa"/>
            <w:tcBorders>
              <w:bottom w:val="single" w:sz="12" w:space="0" w:color="000000"/>
            </w:tcBorders>
            <w:tcMar>
              <w:top w:w="0" w:type="dxa"/>
              <w:left w:w="0" w:type="dxa"/>
              <w:bottom w:w="28" w:type="dxa"/>
            </w:tcMar>
            <w:vAlign w:val="bottom"/>
          </w:tcPr>
          <w:p>
            <w:pPr>
              <w:pStyle w:val="TableContents"/>
              <w:bidi w:val="0"/>
              <w:spacing w:before="0" w:after="0"/>
              <w:jc w:val="right"/>
              <w:rPr>
                <w:color w:val="000000"/>
              </w:rPr>
            </w:pPr>
            <w:r>
              <w:rPr>
                <w:color w:val="000000"/>
              </w:rPr>
              <w:t>—</w:t>
            </w:r>
          </w:p>
        </w:tc>
        <w:tc>
          <w:tcPr>
            <w:tcW w:w="60" w:type="dxa"/>
            <w:tcBorders/>
            <w:tcMar>
              <w:top w:w="0" w:type="dxa"/>
              <w:left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187" w:type="dxa"/>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913" w:type="dxa"/>
            <w:tcBorders>
              <w:bottom w:val="single" w:sz="12" w:space="0" w:color="000000"/>
            </w:tcBorders>
            <w:tcMar>
              <w:top w:w="0" w:type="dxa"/>
              <w:left w:w="0" w:type="dxa"/>
              <w:bottom w:w="28" w:type="dxa"/>
            </w:tcMar>
            <w:vAlign w:val="bottom"/>
          </w:tcPr>
          <w:p>
            <w:pPr>
              <w:pStyle w:val="TableContents"/>
              <w:bidi w:val="0"/>
              <w:spacing w:before="0" w:after="0"/>
              <w:jc w:val="right"/>
              <w:rPr>
                <w:color w:val="000000"/>
              </w:rPr>
            </w:pPr>
            <w:r>
              <w:rPr>
                <w:color w:val="000000"/>
              </w:rPr>
              <w:t>—</w:t>
            </w:r>
          </w:p>
        </w:tc>
        <w:tc>
          <w:tcPr>
            <w:tcW w:w="60" w:type="dxa"/>
            <w:tcBorders/>
            <w:tcMar>
              <w:top w:w="0" w:type="dxa"/>
              <w:left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563" w:type="dxa"/>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1047" w:type="dxa"/>
            <w:tcBorders>
              <w:bottom w:val="single" w:sz="12" w:space="0" w:color="000000"/>
            </w:tcBorders>
            <w:tcMar>
              <w:top w:w="0" w:type="dxa"/>
              <w:left w:w="0" w:type="dxa"/>
              <w:bottom w:w="28" w:type="dxa"/>
            </w:tcMar>
            <w:vAlign w:val="bottom"/>
          </w:tcPr>
          <w:p>
            <w:pPr>
              <w:pStyle w:val="TableContents"/>
              <w:bidi w:val="0"/>
              <w:spacing w:before="0" w:after="0"/>
              <w:jc w:val="right"/>
              <w:rPr>
                <w:color w:val="000000"/>
              </w:rPr>
            </w:pPr>
            <w:r>
              <w:rPr>
                <w:color w:val="000000"/>
              </w:rPr>
              <w:t>—</w:t>
            </w:r>
          </w:p>
        </w:tc>
        <w:tc>
          <w:tcPr>
            <w:tcW w:w="60" w:type="dxa"/>
            <w:tcBorders/>
            <w:tcMar>
              <w:top w:w="0" w:type="dxa"/>
              <w:left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160" w:type="dxa"/>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1210" w:type="dxa"/>
            <w:tcBorders>
              <w:bottom w:val="single" w:sz="12" w:space="0" w:color="000000"/>
            </w:tcBorders>
            <w:tcMar>
              <w:top w:w="0" w:type="dxa"/>
              <w:left w:w="0" w:type="dxa"/>
              <w:bottom w:w="28" w:type="dxa"/>
            </w:tcMar>
            <w:vAlign w:val="bottom"/>
          </w:tcPr>
          <w:p>
            <w:pPr>
              <w:pStyle w:val="TableContents"/>
              <w:bidi w:val="0"/>
              <w:spacing w:before="0" w:after="0"/>
              <w:jc w:val="right"/>
              <w:rPr>
                <w:color w:val="000000"/>
              </w:rPr>
            </w:pPr>
            <w:r>
              <w:rPr>
                <w:color w:val="000000"/>
              </w:rPr>
              <w:t>(69,029</w:t>
            </w:r>
          </w:p>
        </w:tc>
        <w:tc>
          <w:tcPr>
            <w:tcW w:w="95" w:type="dxa"/>
            <w:tcBorders/>
            <w:tcMar>
              <w:top w:w="0" w:type="dxa"/>
              <w:left w:w="0" w:type="dxa"/>
            </w:tcMar>
            <w:vAlign w:val="bottom"/>
          </w:tcPr>
          <w:p>
            <w:pPr>
              <w:pStyle w:val="TableContents"/>
              <w:bidi w:val="0"/>
              <w:spacing w:before="0" w:after="0"/>
              <w:jc w:val="left"/>
              <w:rPr>
                <w:color w:val="000000"/>
              </w:rPr>
            </w:pPr>
            <w:r>
              <w:rPr>
                <w:color w:val="000000"/>
              </w:rPr>
              <w:t>)</w:t>
            </w:r>
          </w:p>
        </w:tc>
        <w:tc>
          <w:tcPr>
            <w:tcW w:w="60" w:type="dxa"/>
            <w:tcBorders/>
            <w:tcMar>
              <w:top w:w="0" w:type="dxa"/>
              <w:left w:w="0" w:type="dxa"/>
            </w:tcMar>
            <w:vAlign w:val="bottom"/>
          </w:tcPr>
          <w:p>
            <w:pPr>
              <w:pStyle w:val="TableContents"/>
              <w:bidi w:val="0"/>
              <w:spacing w:before="0" w:after="283"/>
              <w:jc w:val="left"/>
              <w:rPr/>
            </w:pPr>
            <w:r>
              <w:rPr/>
              <w:t> </w:t>
            </w:r>
          </w:p>
        </w:tc>
        <w:tc>
          <w:tcPr>
            <w:tcW w:w="156" w:type="dxa"/>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1184" w:type="dxa"/>
            <w:tcBorders>
              <w:bottom w:val="single" w:sz="12" w:space="0" w:color="000000"/>
            </w:tcBorders>
            <w:tcMar>
              <w:top w:w="0" w:type="dxa"/>
              <w:left w:w="0" w:type="dxa"/>
              <w:bottom w:w="28" w:type="dxa"/>
            </w:tcMar>
            <w:vAlign w:val="bottom"/>
          </w:tcPr>
          <w:p>
            <w:pPr>
              <w:pStyle w:val="TableContents"/>
              <w:bidi w:val="0"/>
              <w:spacing w:before="0" w:after="0"/>
              <w:jc w:val="right"/>
              <w:rPr>
                <w:color w:val="000000"/>
              </w:rPr>
            </w:pPr>
            <w:r>
              <w:rPr>
                <w:color w:val="000000"/>
              </w:rPr>
              <w:t>(69,029</w:t>
            </w:r>
          </w:p>
        </w:tc>
        <w:tc>
          <w:tcPr>
            <w:tcW w:w="95" w:type="dxa"/>
            <w:tcBorders>
              <w:right w:val="single" w:sz="12" w:space="0" w:color="000000"/>
            </w:tcBorders>
            <w:tcMar>
              <w:top w:w="0" w:type="dxa"/>
              <w:left w:w="0" w:type="dxa"/>
              <w:right w:w="28" w:type="dxa"/>
            </w:tcMar>
            <w:vAlign w:val="bottom"/>
          </w:tcPr>
          <w:p>
            <w:pPr>
              <w:pStyle w:val="TableContents"/>
              <w:bidi w:val="0"/>
              <w:spacing w:before="0" w:after="0"/>
              <w:jc w:val="left"/>
              <w:rPr>
                <w:color w:val="000000"/>
              </w:rPr>
            </w:pPr>
            <w:r>
              <w:rPr>
                <w:color w:val="000000"/>
              </w:rPr>
              <w:t>)</w:t>
            </w:r>
          </w:p>
        </w:tc>
      </w:tr>
      <w:tr>
        <w:trPr/>
        <w:tc>
          <w:tcPr>
            <w:tcW w:w="4415" w:type="dxa"/>
            <w:tcBorders>
              <w:left w:val="single" w:sz="12" w:space="0" w:color="000000"/>
              <w:bottom w:val="double" w:sz="8" w:space="0" w:color="000000"/>
            </w:tcBorders>
            <w:shd w:fill="CCEEFF" w:val="clear"/>
            <w:tcMar>
              <w:top w:w="0" w:type="dxa"/>
              <w:bottom w:w="28" w:type="dxa"/>
            </w:tcMar>
            <w:vAlign w:val="bottom"/>
          </w:tcPr>
          <w:p>
            <w:pPr>
              <w:pStyle w:val="TableContents"/>
              <w:bidi w:val="0"/>
              <w:spacing w:before="0" w:after="0"/>
              <w:ind w:left="144" w:right="0" w:hanging="144"/>
              <w:jc w:val="left"/>
              <w:rPr>
                <w:b/>
                <w:color w:val="000000"/>
              </w:rPr>
            </w:pPr>
            <w:r>
              <w:rPr>
                <w:b/>
                <w:color w:val="000000"/>
              </w:rPr>
              <w:t>Balance as of June 30, 2026</w:t>
            </w:r>
          </w:p>
        </w:tc>
        <w:tc>
          <w:tcPr>
            <w:tcW w:w="60" w:type="dxa"/>
            <w:tcBorders>
              <w:bottom w:val="double" w:sz="8" w:space="0" w:color="000000"/>
            </w:tcBorders>
            <w:shd w:fill="CCEEFF" w:val="clear"/>
            <w:tcMar>
              <w:top w:w="0" w:type="dxa"/>
              <w:left w:w="0" w:type="dxa"/>
              <w:bottom w:w="28" w:type="dxa"/>
            </w:tcMar>
            <w:vAlign w:val="bottom"/>
          </w:tcPr>
          <w:p>
            <w:pPr>
              <w:pStyle w:val="TableContents"/>
              <w:bidi w:val="0"/>
              <w:spacing w:before="0" w:after="283"/>
              <w:jc w:val="left"/>
              <w:rPr/>
            </w:pPr>
            <w:r>
              <w:rPr/>
              <w:t> </w:t>
            </w:r>
          </w:p>
        </w:tc>
        <w:tc>
          <w:tcPr>
            <w:tcW w:w="60" w:type="dxa"/>
            <w:tcBorders>
              <w:bottom w:val="double" w:sz="8" w:space="0" w:color="000000"/>
            </w:tcBorders>
            <w:shd w:fill="CCEEFF" w:val="clear"/>
            <w:tcMar>
              <w:top w:w="0" w:type="dxa"/>
              <w:left w:w="0" w:type="dxa"/>
              <w:bottom w:w="28" w:type="dxa"/>
            </w:tcMar>
            <w:vAlign w:val="bottom"/>
          </w:tcPr>
          <w:p>
            <w:pPr>
              <w:pStyle w:val="TableContents"/>
              <w:bidi w:val="0"/>
              <w:spacing w:before="0" w:after="283"/>
              <w:jc w:val="left"/>
              <w:rPr/>
            </w:pPr>
            <w:r>
              <w:rPr/>
              <w:t> </w:t>
            </w:r>
          </w:p>
        </w:tc>
        <w:tc>
          <w:tcPr>
            <w:tcW w:w="1220" w:type="dxa"/>
            <w:tcBorders>
              <w:bottom w:val="double" w:sz="8" w:space="0" w:color="000000"/>
            </w:tcBorders>
            <w:shd w:fill="CCEEFF" w:val="clear"/>
            <w:tcMar>
              <w:top w:w="0" w:type="dxa"/>
              <w:left w:w="0" w:type="dxa"/>
              <w:bottom w:w="28" w:type="dxa"/>
            </w:tcMar>
            <w:vAlign w:val="bottom"/>
          </w:tcPr>
          <w:p>
            <w:pPr>
              <w:pStyle w:val="TableContents"/>
              <w:bidi w:val="0"/>
              <w:spacing w:before="0" w:after="0"/>
              <w:jc w:val="right"/>
              <w:rPr>
                <w:color w:val="000000"/>
              </w:rPr>
            </w:pPr>
            <w:r>
              <w:rPr>
                <w:color w:val="000000"/>
              </w:rPr>
              <w:t>212,541,832</w:t>
            </w:r>
          </w:p>
        </w:tc>
        <w:tc>
          <w:tcPr>
            <w:tcW w:w="60" w:type="dxa"/>
            <w:tcBorders>
              <w:bottom w:val="double" w:sz="8" w:space="0" w:color="000000"/>
            </w:tcBorders>
            <w:shd w:fill="CCEEFF" w:val="clear"/>
            <w:tcMar>
              <w:top w:w="0" w:type="dxa"/>
              <w:left w:w="0" w:type="dxa"/>
              <w:bottom w:w="28" w:type="dxa"/>
            </w:tcMar>
            <w:vAlign w:val="bottom"/>
          </w:tcPr>
          <w:p>
            <w:pPr>
              <w:pStyle w:val="TableContents"/>
              <w:bidi w:val="0"/>
              <w:spacing w:before="0" w:after="283"/>
              <w:jc w:val="left"/>
              <w:rPr/>
            </w:pPr>
            <w:r>
              <w:rPr/>
              <w:t> </w:t>
            </w:r>
          </w:p>
        </w:tc>
        <w:tc>
          <w:tcPr>
            <w:tcW w:w="60" w:type="dxa"/>
            <w:tcBorders>
              <w:bottom w:val="double" w:sz="8" w:space="0" w:color="000000"/>
            </w:tcBorders>
            <w:shd w:fill="CCEEFF" w:val="clear"/>
            <w:tcMar>
              <w:top w:w="0" w:type="dxa"/>
              <w:left w:w="0" w:type="dxa"/>
              <w:bottom w:w="28" w:type="dxa"/>
            </w:tcM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top w:w="0" w:type="dxa"/>
              <w:left w:w="0" w:type="dxa"/>
              <w:bottom w:w="28" w:type="dxa"/>
            </w:tcMar>
            <w:vAlign w:val="bottom"/>
          </w:tcPr>
          <w:p>
            <w:pPr>
              <w:pStyle w:val="TableContents"/>
              <w:bidi w:val="0"/>
              <w:spacing w:before="0" w:after="0"/>
              <w:jc w:val="left"/>
              <w:rPr>
                <w:color w:val="000000"/>
              </w:rPr>
            </w:pPr>
            <w:r>
              <w:rPr>
                <w:color w:val="000000"/>
              </w:rPr>
              <w:t>$</w:t>
            </w:r>
          </w:p>
        </w:tc>
        <w:tc>
          <w:tcPr>
            <w:tcW w:w="980" w:type="dxa"/>
            <w:tcBorders>
              <w:bottom w:val="double" w:sz="8" w:space="0" w:color="000000"/>
            </w:tcBorders>
            <w:shd w:fill="CCEEFF" w:val="clear"/>
            <w:tcMar>
              <w:top w:w="0" w:type="dxa"/>
              <w:left w:w="0" w:type="dxa"/>
              <w:bottom w:w="28" w:type="dxa"/>
            </w:tcMar>
            <w:vAlign w:val="bottom"/>
          </w:tcPr>
          <w:p>
            <w:pPr>
              <w:pStyle w:val="TableContents"/>
              <w:bidi w:val="0"/>
              <w:spacing w:before="0" w:after="0"/>
              <w:jc w:val="right"/>
              <w:rPr>
                <w:color w:val="000000"/>
              </w:rPr>
            </w:pPr>
            <w:r>
              <w:rPr>
                <w:color w:val="000000"/>
              </w:rPr>
              <w:t>1,363,580</w:t>
            </w:r>
          </w:p>
        </w:tc>
        <w:tc>
          <w:tcPr>
            <w:tcW w:w="60" w:type="dxa"/>
            <w:tcBorders>
              <w:bottom w:val="double" w:sz="8" w:space="0" w:color="000000"/>
            </w:tcBorders>
            <w:shd w:fill="CCEEFF" w:val="clear"/>
            <w:tcMar>
              <w:top w:w="0" w:type="dxa"/>
              <w:left w:w="0" w:type="dxa"/>
              <w:bottom w:w="28" w:type="dxa"/>
            </w:tcMar>
            <w:vAlign w:val="bottom"/>
          </w:tcPr>
          <w:p>
            <w:pPr>
              <w:pStyle w:val="TableContents"/>
              <w:bidi w:val="0"/>
              <w:spacing w:before="0" w:after="283"/>
              <w:jc w:val="left"/>
              <w:rPr/>
            </w:pPr>
            <w:r>
              <w:rPr/>
              <w:t> </w:t>
            </w:r>
          </w:p>
        </w:tc>
        <w:tc>
          <w:tcPr>
            <w:tcW w:w="60" w:type="dxa"/>
            <w:tcBorders>
              <w:left w:val="single" w:sz="12" w:space="0" w:color="000000"/>
              <w:bottom w:val="double" w:sz="8" w:space="0" w:color="000000"/>
            </w:tcBorders>
            <w:shd w:fill="CCEEFF" w:val="clear"/>
            <w:tcMar>
              <w:top w:w="0" w:type="dxa"/>
              <w:bottom w:w="28" w:type="dxa"/>
            </w:tcMar>
            <w:vAlign w:val="bottom"/>
          </w:tcPr>
          <w:p>
            <w:pPr>
              <w:pStyle w:val="TableContents"/>
              <w:bidi w:val="0"/>
              <w:spacing w:before="0" w:after="283"/>
              <w:jc w:val="left"/>
              <w:rPr/>
            </w:pPr>
            <w:r>
              <w:rPr/>
              <w:t> </w:t>
            </w:r>
          </w:p>
        </w:tc>
        <w:tc>
          <w:tcPr>
            <w:tcW w:w="60" w:type="dxa"/>
            <w:tcBorders>
              <w:bottom w:val="double" w:sz="8" w:space="0" w:color="000000"/>
            </w:tcBorders>
            <w:shd w:fill="CCEEFF" w:val="clear"/>
            <w:tcMar>
              <w:top w:w="0" w:type="dxa"/>
              <w:left w:w="0" w:type="dxa"/>
              <w:bottom w:w="28" w:type="dxa"/>
            </w:tcMar>
            <w:vAlign w:val="bottom"/>
          </w:tcPr>
          <w:p>
            <w:pPr>
              <w:pStyle w:val="TableContents"/>
              <w:bidi w:val="0"/>
              <w:spacing w:before="0" w:after="283"/>
              <w:jc w:val="left"/>
              <w:rPr/>
            </w:pPr>
            <w:r>
              <w:rPr/>
              <w:t> </w:t>
            </w:r>
          </w:p>
        </w:tc>
        <w:tc>
          <w:tcPr>
            <w:tcW w:w="1100" w:type="dxa"/>
            <w:tcBorders>
              <w:bottom w:val="double" w:sz="8" w:space="0" w:color="000000"/>
            </w:tcBorders>
            <w:shd w:fill="CCEEFF" w:val="clear"/>
            <w:tcMar>
              <w:top w:w="0" w:type="dxa"/>
              <w:left w:w="0" w:type="dxa"/>
              <w:bottom w:w="28" w:type="dxa"/>
            </w:tcMar>
            <w:vAlign w:val="bottom"/>
          </w:tcPr>
          <w:p>
            <w:pPr>
              <w:pStyle w:val="TableContents"/>
              <w:bidi w:val="0"/>
              <w:spacing w:before="0" w:after="0"/>
              <w:jc w:val="right"/>
              <w:rPr>
                <w:color w:val="000000"/>
              </w:rPr>
            </w:pPr>
            <w:r>
              <w:rPr>
                <w:color w:val="000000"/>
              </w:rPr>
              <w:t>26,267,598</w:t>
            </w:r>
          </w:p>
        </w:tc>
        <w:tc>
          <w:tcPr>
            <w:tcW w:w="60" w:type="dxa"/>
            <w:tcBorders>
              <w:bottom w:val="double" w:sz="8" w:space="0" w:color="000000"/>
            </w:tcBorders>
            <w:shd w:fill="CCEEFF" w:val="clear"/>
            <w:tcMar>
              <w:top w:w="0" w:type="dxa"/>
              <w:left w:w="0" w:type="dxa"/>
              <w:bottom w:w="28" w:type="dxa"/>
            </w:tcMar>
            <w:vAlign w:val="bottom"/>
          </w:tcPr>
          <w:p>
            <w:pPr>
              <w:pStyle w:val="TableContents"/>
              <w:bidi w:val="0"/>
              <w:spacing w:before="0" w:after="283"/>
              <w:jc w:val="left"/>
              <w:rPr/>
            </w:pPr>
            <w:r>
              <w:rPr/>
              <w:t> </w:t>
            </w:r>
          </w:p>
        </w:tc>
        <w:tc>
          <w:tcPr>
            <w:tcW w:w="60" w:type="dxa"/>
            <w:tcBorders>
              <w:bottom w:val="double" w:sz="8" w:space="0" w:color="000000"/>
            </w:tcBorders>
            <w:shd w:fill="CCEEFF" w:val="clear"/>
            <w:tcMar>
              <w:top w:w="0" w:type="dxa"/>
              <w:left w:w="0" w:type="dxa"/>
              <w:bottom w:w="28" w:type="dxa"/>
            </w:tcMar>
            <w:vAlign w:val="bottom"/>
          </w:tcPr>
          <w:p>
            <w:pPr>
              <w:pStyle w:val="TableContents"/>
              <w:bidi w:val="0"/>
              <w:spacing w:before="0" w:after="283"/>
              <w:jc w:val="left"/>
              <w:rPr/>
            </w:pPr>
            <w:r>
              <w:rPr/>
              <w:t> </w:t>
            </w:r>
          </w:p>
        </w:tc>
        <w:tc>
          <w:tcPr>
            <w:tcW w:w="301" w:type="dxa"/>
            <w:tcBorders>
              <w:bottom w:val="double" w:sz="8" w:space="0" w:color="000000"/>
            </w:tcBorders>
            <w:shd w:fill="CCEEFF" w:val="clear"/>
            <w:tcMar>
              <w:top w:w="0" w:type="dxa"/>
              <w:left w:w="0" w:type="dxa"/>
              <w:bottom w:w="28" w:type="dxa"/>
            </w:tcMar>
            <w:vAlign w:val="bottom"/>
          </w:tcPr>
          <w:p>
            <w:pPr>
              <w:pStyle w:val="TableContents"/>
              <w:bidi w:val="0"/>
              <w:spacing w:before="0" w:after="0"/>
              <w:jc w:val="left"/>
              <w:rPr>
                <w:color w:val="000000"/>
              </w:rPr>
            </w:pPr>
            <w:r>
              <w:rPr>
                <w:color w:val="000000"/>
              </w:rPr>
              <w:t>$</w:t>
            </w:r>
          </w:p>
        </w:tc>
        <w:tc>
          <w:tcPr>
            <w:tcW w:w="559" w:type="dxa"/>
            <w:tcBorders>
              <w:bottom w:val="double" w:sz="8" w:space="0" w:color="000000"/>
            </w:tcBorders>
            <w:shd w:fill="CCEEFF" w:val="clear"/>
            <w:tcMar>
              <w:top w:w="0" w:type="dxa"/>
              <w:left w:w="0" w:type="dxa"/>
              <w:bottom w:w="28" w:type="dxa"/>
            </w:tcMar>
            <w:vAlign w:val="bottom"/>
          </w:tcPr>
          <w:p>
            <w:pPr>
              <w:pStyle w:val="TableContents"/>
              <w:bidi w:val="0"/>
              <w:spacing w:before="0" w:after="0"/>
              <w:jc w:val="right"/>
              <w:rPr>
                <w:color w:val="000000"/>
              </w:rPr>
            </w:pPr>
            <w:r>
              <w:rPr>
                <w:color w:val="000000"/>
              </w:rPr>
              <w:t>3</w:t>
            </w:r>
          </w:p>
        </w:tc>
        <w:tc>
          <w:tcPr>
            <w:tcW w:w="60" w:type="dxa"/>
            <w:tcBorders>
              <w:bottom w:val="double" w:sz="8" w:space="0" w:color="000000"/>
            </w:tcBorders>
            <w:shd w:fill="CCEEFF" w:val="clear"/>
            <w:tcMar>
              <w:top w:w="0" w:type="dxa"/>
              <w:left w:w="0" w:type="dxa"/>
              <w:bottom w:w="28" w:type="dxa"/>
            </w:tcMar>
            <w:vAlign w:val="bottom"/>
          </w:tcPr>
          <w:p>
            <w:pPr>
              <w:pStyle w:val="TableContents"/>
              <w:bidi w:val="0"/>
              <w:spacing w:before="0" w:after="283"/>
              <w:jc w:val="left"/>
              <w:rPr/>
            </w:pPr>
            <w:r>
              <w:rPr/>
              <w:t> </w:t>
            </w:r>
          </w:p>
        </w:tc>
        <w:tc>
          <w:tcPr>
            <w:tcW w:w="60" w:type="dxa"/>
            <w:tcBorders>
              <w:bottom w:val="double" w:sz="8" w:space="0" w:color="000000"/>
            </w:tcBorders>
            <w:shd w:fill="CCEEFF" w:val="clear"/>
            <w:tcMar>
              <w:top w:w="0" w:type="dxa"/>
              <w:left w:w="0" w:type="dxa"/>
              <w:bottom w:w="28" w:type="dxa"/>
            </w:tcMar>
            <w:vAlign w:val="bottom"/>
          </w:tcPr>
          <w:p>
            <w:pPr>
              <w:pStyle w:val="TableContents"/>
              <w:bidi w:val="0"/>
              <w:spacing w:before="0" w:after="283"/>
              <w:jc w:val="left"/>
              <w:rPr/>
            </w:pPr>
            <w:r>
              <w:rPr/>
              <w:t> </w:t>
            </w:r>
          </w:p>
        </w:tc>
        <w:tc>
          <w:tcPr>
            <w:tcW w:w="187" w:type="dxa"/>
            <w:tcBorders>
              <w:bottom w:val="double" w:sz="8" w:space="0" w:color="000000"/>
            </w:tcBorders>
            <w:shd w:fill="CCEEFF" w:val="clear"/>
            <w:tcMar>
              <w:top w:w="0" w:type="dxa"/>
              <w:left w:w="0" w:type="dxa"/>
              <w:bottom w:w="28" w:type="dxa"/>
            </w:tcMar>
            <w:vAlign w:val="bottom"/>
          </w:tcPr>
          <w:p>
            <w:pPr>
              <w:pStyle w:val="TableContents"/>
              <w:bidi w:val="0"/>
              <w:spacing w:before="0" w:after="0"/>
              <w:jc w:val="left"/>
              <w:rPr>
                <w:color w:val="000000"/>
              </w:rPr>
            </w:pPr>
            <w:r>
              <w:rPr>
                <w:color w:val="000000"/>
              </w:rPr>
              <w:t>$</w:t>
            </w:r>
          </w:p>
        </w:tc>
        <w:tc>
          <w:tcPr>
            <w:tcW w:w="913" w:type="dxa"/>
            <w:tcBorders>
              <w:bottom w:val="double" w:sz="8" w:space="0" w:color="000000"/>
            </w:tcBorders>
            <w:shd w:fill="CCEEFF" w:val="clear"/>
            <w:tcMar>
              <w:top w:w="0" w:type="dxa"/>
              <w:left w:w="0" w:type="dxa"/>
              <w:bottom w:w="28" w:type="dxa"/>
            </w:tcMar>
            <w:vAlign w:val="bottom"/>
          </w:tcPr>
          <w:p>
            <w:pPr>
              <w:pStyle w:val="TableContents"/>
              <w:bidi w:val="0"/>
              <w:spacing w:before="0" w:after="0"/>
              <w:jc w:val="right"/>
              <w:rPr>
                <w:color w:val="000000"/>
              </w:rPr>
            </w:pPr>
            <w:r>
              <w:rPr>
                <w:color w:val="000000"/>
              </w:rPr>
              <w:t>89,471</w:t>
            </w:r>
          </w:p>
        </w:tc>
        <w:tc>
          <w:tcPr>
            <w:tcW w:w="60" w:type="dxa"/>
            <w:tcBorders>
              <w:bottom w:val="double" w:sz="8" w:space="0" w:color="000000"/>
            </w:tcBorders>
            <w:shd w:fill="CCEEFF" w:val="clear"/>
            <w:tcMar>
              <w:top w:w="0" w:type="dxa"/>
              <w:left w:w="0" w:type="dxa"/>
              <w:bottom w:w="28" w:type="dxa"/>
            </w:tcMar>
            <w:vAlign w:val="bottom"/>
          </w:tcPr>
          <w:p>
            <w:pPr>
              <w:pStyle w:val="TableContents"/>
              <w:bidi w:val="0"/>
              <w:spacing w:before="0" w:after="283"/>
              <w:jc w:val="left"/>
              <w:rPr/>
            </w:pPr>
            <w:r>
              <w:rPr/>
              <w:t> </w:t>
            </w:r>
          </w:p>
        </w:tc>
        <w:tc>
          <w:tcPr>
            <w:tcW w:w="60" w:type="dxa"/>
            <w:tcBorders>
              <w:bottom w:val="double" w:sz="8" w:space="0" w:color="000000"/>
            </w:tcBorders>
            <w:shd w:fill="CCEEFF" w:val="clear"/>
            <w:tcMar>
              <w:top w:w="0" w:type="dxa"/>
              <w:left w:w="0" w:type="dxa"/>
              <w:bottom w:w="28" w:type="dxa"/>
            </w:tcMar>
            <w:vAlign w:val="bottom"/>
          </w:tcPr>
          <w:p>
            <w:pPr>
              <w:pStyle w:val="TableContents"/>
              <w:bidi w:val="0"/>
              <w:spacing w:before="0" w:after="283"/>
              <w:jc w:val="left"/>
              <w:rPr/>
            </w:pPr>
            <w:r>
              <w:rPr/>
              <w:t> </w:t>
            </w:r>
          </w:p>
        </w:tc>
        <w:tc>
          <w:tcPr>
            <w:tcW w:w="563" w:type="dxa"/>
            <w:tcBorders>
              <w:bottom w:val="double" w:sz="8" w:space="0" w:color="000000"/>
            </w:tcBorders>
            <w:shd w:fill="CCEEFF" w:val="clear"/>
            <w:tcMar>
              <w:top w:w="0" w:type="dxa"/>
              <w:left w:w="0" w:type="dxa"/>
              <w:bottom w:w="28" w:type="dxa"/>
            </w:tcMar>
            <w:vAlign w:val="bottom"/>
          </w:tcPr>
          <w:p>
            <w:pPr>
              <w:pStyle w:val="TableContents"/>
              <w:bidi w:val="0"/>
              <w:spacing w:before="0" w:after="0"/>
              <w:jc w:val="left"/>
              <w:rPr>
                <w:color w:val="000000"/>
              </w:rPr>
            </w:pPr>
            <w:r>
              <w:rPr>
                <w:color w:val="000000"/>
              </w:rPr>
              <w:t>$</w:t>
            </w:r>
          </w:p>
        </w:tc>
        <w:tc>
          <w:tcPr>
            <w:tcW w:w="1047" w:type="dxa"/>
            <w:tcBorders>
              <w:bottom w:val="double" w:sz="8" w:space="0" w:color="000000"/>
            </w:tcBorders>
            <w:shd w:fill="CCEEFF" w:val="clear"/>
            <w:tcMar>
              <w:top w:w="0" w:type="dxa"/>
              <w:left w:w="0" w:type="dxa"/>
              <w:bottom w:w="28" w:type="dxa"/>
            </w:tcMar>
            <w:vAlign w:val="bottom"/>
          </w:tcPr>
          <w:p>
            <w:pPr>
              <w:pStyle w:val="TableContents"/>
              <w:bidi w:val="0"/>
              <w:spacing w:before="0" w:after="0"/>
              <w:jc w:val="right"/>
              <w:rPr>
                <w:color w:val="000000"/>
              </w:rPr>
            </w:pPr>
            <w:r>
              <w:rPr>
                <w:color w:val="000000"/>
              </w:rPr>
              <w:t>28</w:t>
            </w:r>
          </w:p>
        </w:tc>
        <w:tc>
          <w:tcPr>
            <w:tcW w:w="60" w:type="dxa"/>
            <w:tcBorders>
              <w:bottom w:val="double" w:sz="8" w:space="0" w:color="000000"/>
            </w:tcBorders>
            <w:shd w:fill="CCEEFF" w:val="clear"/>
            <w:tcMar>
              <w:top w:w="0" w:type="dxa"/>
              <w:left w:w="0" w:type="dxa"/>
              <w:bottom w:w="28" w:type="dxa"/>
            </w:tcMar>
            <w:vAlign w:val="bottom"/>
          </w:tcPr>
          <w:p>
            <w:pPr>
              <w:pStyle w:val="TableContents"/>
              <w:bidi w:val="0"/>
              <w:spacing w:before="0" w:after="283"/>
              <w:jc w:val="left"/>
              <w:rPr/>
            </w:pPr>
            <w:r>
              <w:rPr/>
              <w:t> </w:t>
            </w:r>
          </w:p>
        </w:tc>
        <w:tc>
          <w:tcPr>
            <w:tcW w:w="60" w:type="dxa"/>
            <w:tcBorders>
              <w:bottom w:val="double" w:sz="8" w:space="0" w:color="000000"/>
            </w:tcBorders>
            <w:shd w:fill="CCEEFF" w:val="clear"/>
            <w:tcMar>
              <w:top w:w="0" w:type="dxa"/>
              <w:left w:w="0" w:type="dxa"/>
              <w:bottom w:w="28" w:type="dxa"/>
            </w:tcMar>
            <w:vAlign w:val="bottom"/>
          </w:tcPr>
          <w:p>
            <w:pPr>
              <w:pStyle w:val="TableContents"/>
              <w:bidi w:val="0"/>
              <w:spacing w:before="0" w:after="283"/>
              <w:jc w:val="left"/>
              <w:rPr/>
            </w:pPr>
            <w:r>
              <w:rPr/>
              <w:t> </w:t>
            </w:r>
          </w:p>
        </w:tc>
        <w:tc>
          <w:tcPr>
            <w:tcW w:w="160" w:type="dxa"/>
            <w:tcBorders>
              <w:bottom w:val="double" w:sz="8" w:space="0" w:color="000000"/>
            </w:tcBorders>
            <w:shd w:fill="CCEEFF" w:val="clear"/>
            <w:tcMar>
              <w:top w:w="0" w:type="dxa"/>
              <w:left w:w="0" w:type="dxa"/>
              <w:bottom w:w="28" w:type="dxa"/>
            </w:tcMar>
            <w:vAlign w:val="bottom"/>
          </w:tcPr>
          <w:p>
            <w:pPr>
              <w:pStyle w:val="TableContents"/>
              <w:bidi w:val="0"/>
              <w:spacing w:before="0" w:after="0"/>
              <w:jc w:val="left"/>
              <w:rPr>
                <w:color w:val="000000"/>
              </w:rPr>
            </w:pPr>
            <w:r>
              <w:rPr>
                <w:color w:val="000000"/>
              </w:rPr>
              <w:t>$</w:t>
            </w:r>
          </w:p>
        </w:tc>
        <w:tc>
          <w:tcPr>
            <w:tcW w:w="1210" w:type="dxa"/>
            <w:tcBorders>
              <w:bottom w:val="double" w:sz="8" w:space="0" w:color="000000"/>
            </w:tcBorders>
            <w:shd w:fill="CCEEFF" w:val="clear"/>
            <w:tcMar>
              <w:top w:w="0" w:type="dxa"/>
              <w:left w:w="0" w:type="dxa"/>
              <w:bottom w:w="28" w:type="dxa"/>
            </w:tcMar>
            <w:vAlign w:val="bottom"/>
          </w:tcPr>
          <w:p>
            <w:pPr>
              <w:pStyle w:val="TableContents"/>
              <w:bidi w:val="0"/>
              <w:spacing w:before="0" w:after="0"/>
              <w:jc w:val="right"/>
              <w:rPr>
                <w:color w:val="000000"/>
              </w:rPr>
            </w:pPr>
            <w:r>
              <w:rPr>
                <w:color w:val="000000"/>
              </w:rPr>
              <w:t>(1,479,693</w:t>
            </w:r>
          </w:p>
        </w:tc>
        <w:tc>
          <w:tcPr>
            <w:tcW w:w="95" w:type="dxa"/>
            <w:tcBorders>
              <w:bottom w:val="double" w:sz="8" w:space="0" w:color="000000"/>
            </w:tcBorders>
            <w:shd w:fill="CCEEFF" w:val="clear"/>
            <w:tcMar>
              <w:top w:w="0" w:type="dxa"/>
              <w:left w:w="0" w:type="dxa"/>
              <w:bottom w:w="28" w:type="dxa"/>
            </w:tcMar>
            <w:vAlign w:val="bottom"/>
          </w:tcPr>
          <w:p>
            <w:pPr>
              <w:pStyle w:val="TableContents"/>
              <w:bidi w:val="0"/>
              <w:spacing w:before="0" w:after="0"/>
              <w:jc w:val="left"/>
              <w:rPr>
                <w:color w:val="000000"/>
              </w:rPr>
            </w:pPr>
            <w:r>
              <w:rPr>
                <w:color w:val="000000"/>
              </w:rPr>
              <w:t>)</w:t>
            </w:r>
          </w:p>
        </w:tc>
        <w:tc>
          <w:tcPr>
            <w:tcW w:w="60" w:type="dxa"/>
            <w:tcBorders>
              <w:bottom w:val="double" w:sz="8" w:space="0" w:color="000000"/>
            </w:tcBorders>
            <w:shd w:fill="CCEEFF" w:val="clear"/>
            <w:tcMar>
              <w:top w:w="0" w:type="dxa"/>
              <w:left w:w="0" w:type="dxa"/>
              <w:bottom w:w="28" w:type="dxa"/>
            </w:tcMar>
            <w:vAlign w:val="bottom"/>
          </w:tcPr>
          <w:p>
            <w:pPr>
              <w:pStyle w:val="TableContents"/>
              <w:bidi w:val="0"/>
              <w:spacing w:before="0" w:after="283"/>
              <w:jc w:val="left"/>
              <w:rPr/>
            </w:pPr>
            <w:r>
              <w:rPr/>
              <w:t> </w:t>
            </w:r>
          </w:p>
        </w:tc>
        <w:tc>
          <w:tcPr>
            <w:tcW w:w="156" w:type="dxa"/>
            <w:tcBorders>
              <w:bottom w:val="double" w:sz="8" w:space="0" w:color="000000"/>
            </w:tcBorders>
            <w:shd w:fill="CCEEFF" w:val="clear"/>
            <w:tcMar>
              <w:top w:w="0" w:type="dxa"/>
              <w:left w:w="0" w:type="dxa"/>
              <w:bottom w:w="28" w:type="dxa"/>
            </w:tcMar>
            <w:vAlign w:val="bottom"/>
          </w:tcPr>
          <w:p>
            <w:pPr>
              <w:pStyle w:val="TableContents"/>
              <w:bidi w:val="0"/>
              <w:spacing w:before="0" w:after="0"/>
              <w:jc w:val="left"/>
              <w:rPr>
                <w:color w:val="000000"/>
              </w:rPr>
            </w:pPr>
            <w:r>
              <w:rPr>
                <w:color w:val="000000"/>
              </w:rPr>
              <w:t>$</w:t>
            </w:r>
          </w:p>
        </w:tc>
        <w:tc>
          <w:tcPr>
            <w:tcW w:w="1184" w:type="dxa"/>
            <w:tcBorders>
              <w:bottom w:val="double" w:sz="8" w:space="0" w:color="000000"/>
            </w:tcBorders>
            <w:shd w:fill="CCEEFF" w:val="clear"/>
            <w:tcMar>
              <w:top w:w="0" w:type="dxa"/>
              <w:left w:w="0" w:type="dxa"/>
              <w:bottom w:w="28" w:type="dxa"/>
            </w:tcMar>
            <w:vAlign w:val="bottom"/>
          </w:tcPr>
          <w:p>
            <w:pPr>
              <w:pStyle w:val="TableContents"/>
              <w:bidi w:val="0"/>
              <w:spacing w:before="0" w:after="0"/>
              <w:jc w:val="right"/>
              <w:rPr>
                <w:color w:val="000000"/>
              </w:rPr>
            </w:pPr>
            <w:r>
              <w:rPr>
                <w:color w:val="000000"/>
              </w:rPr>
              <w:t>(1,390,191</w:t>
            </w:r>
          </w:p>
        </w:tc>
        <w:tc>
          <w:tcPr>
            <w:tcW w:w="95" w:type="dxa"/>
            <w:tcBorders>
              <w:bottom w:val="double" w:sz="8" w:space="0" w:color="000000"/>
              <w:right w:val="single" w:sz="12" w:space="0" w:color="000000"/>
            </w:tcBorders>
            <w:shd w:fill="CCEEFF" w:val="clear"/>
            <w:tcMar>
              <w:top w:w="0" w:type="dxa"/>
              <w:left w:w="0" w:type="dxa"/>
              <w:bottom w:w="28" w:type="dxa"/>
              <w:right w:w="28" w:type="dxa"/>
            </w:tcMar>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7" w:name="ze8c54368fa6e45b5861cf3f9b263bfd2"/>
      <w:bookmarkStart w:id="18" w:name="ze8c54368fa6e45b5861cf3f9b263bfd2"/>
      <w:bookmarkEnd w:id="18"/>
    </w:p>
    <w:tbl>
      <w:tblPr>
        <w:tblW w:w="15595" w:type="dxa"/>
        <w:jc w:val="left"/>
        <w:tblInd w:w="-15" w:type="dxa"/>
        <w:tblLayout w:type="fixed"/>
        <w:tblCellMar>
          <w:top w:w="28" w:type="dxa"/>
          <w:left w:w="28" w:type="dxa"/>
          <w:bottom w:w="0" w:type="dxa"/>
          <w:right w:w="0" w:type="dxa"/>
        </w:tblCellMar>
      </w:tblPr>
      <w:tblGrid>
        <w:gridCol w:w="4655"/>
        <w:gridCol w:w="60"/>
        <w:gridCol w:w="60"/>
        <w:gridCol w:w="1220"/>
        <w:gridCol w:w="60"/>
        <w:gridCol w:w="60"/>
        <w:gridCol w:w="140"/>
        <w:gridCol w:w="980"/>
        <w:gridCol w:w="60"/>
        <w:gridCol w:w="60"/>
        <w:gridCol w:w="60"/>
        <w:gridCol w:w="1100"/>
        <w:gridCol w:w="60"/>
        <w:gridCol w:w="60"/>
        <w:gridCol w:w="301"/>
        <w:gridCol w:w="559"/>
        <w:gridCol w:w="95"/>
        <w:gridCol w:w="60"/>
        <w:gridCol w:w="187"/>
        <w:gridCol w:w="913"/>
        <w:gridCol w:w="60"/>
        <w:gridCol w:w="60"/>
        <w:gridCol w:w="563"/>
        <w:gridCol w:w="1047"/>
        <w:gridCol w:w="95"/>
        <w:gridCol w:w="60"/>
        <w:gridCol w:w="160"/>
        <w:gridCol w:w="1210"/>
        <w:gridCol w:w="95"/>
        <w:gridCol w:w="60"/>
        <w:gridCol w:w="156"/>
        <w:gridCol w:w="1184"/>
        <w:gridCol w:w="95"/>
      </w:tblGrid>
      <w:tr>
        <w:trPr/>
        <w:tc>
          <w:tcPr>
            <w:tcW w:w="4655" w:type="dxa"/>
            <w:tcBorders>
              <w:top w:val="single" w:sz="12" w:space="0" w:color="000000"/>
              <w:left w:val="single" w:sz="12" w:space="0" w:color="000000"/>
            </w:tcBorders>
            <w:vAlign w:val="bottom"/>
          </w:tcPr>
          <w:p>
            <w:pPr>
              <w:pStyle w:val="TableContents"/>
              <w:bidi w:val="0"/>
              <w:spacing w:before="0" w:after="283"/>
              <w:jc w:val="left"/>
              <w:rPr/>
            </w:pPr>
            <w:r>
              <w:rPr/>
              <w:t> </w:t>
            </w:r>
          </w:p>
        </w:tc>
        <w:tc>
          <w:tcPr>
            <w:tcW w:w="60" w:type="dxa"/>
            <w:tcBorders>
              <w:top w:val="single" w:sz="12" w:space="0" w:color="000000"/>
            </w:tcBorders>
            <w:tcMar>
              <w:left w:w="0" w:type="dxa"/>
            </w:tcMar>
            <w:vAlign w:val="bottom"/>
          </w:tcPr>
          <w:p>
            <w:pPr>
              <w:pStyle w:val="TableContents"/>
              <w:bidi w:val="0"/>
              <w:spacing w:before="0" w:after="283"/>
              <w:jc w:val="left"/>
              <w:rPr/>
            </w:pPr>
            <w:r>
              <w:rPr/>
              <w:t> </w:t>
            </w:r>
          </w:p>
        </w:tc>
        <w:tc>
          <w:tcPr>
            <w:tcW w:w="10785" w:type="dxa"/>
            <w:gridSpan w:val="30"/>
            <w:tcBorders>
              <w:top w:val="single" w:sz="12" w:space="0" w:color="000000"/>
              <w:bottom w:val="single" w:sz="12" w:space="0" w:color="000000"/>
            </w:tcBorders>
            <w:tcMar>
              <w:left w:w="0" w:type="dxa"/>
              <w:bottom w:w="28" w:type="dxa"/>
            </w:tcMar>
            <w:vAlign w:val="bottom"/>
          </w:tcPr>
          <w:p>
            <w:pPr>
              <w:pStyle w:val="TableContents"/>
              <w:bidi w:val="0"/>
              <w:spacing w:before="0" w:after="0"/>
              <w:jc w:val="center"/>
              <w:rPr>
                <w:b/>
                <w:color w:val="000000"/>
              </w:rPr>
            </w:pPr>
            <w:r>
              <w:rPr>
                <w:b/>
                <w:color w:val="000000"/>
              </w:rPr>
              <w:t>Three Months Ended June 30, 2025</w:t>
            </w:r>
          </w:p>
        </w:tc>
        <w:tc>
          <w:tcPr>
            <w:tcW w:w="95" w:type="dxa"/>
            <w:tcBorders>
              <w:top w:val="single" w:sz="12" w:space="0" w:color="000000"/>
              <w:right w:val="single" w:sz="12" w:space="0" w:color="000000"/>
            </w:tcBorders>
            <w:tcMar>
              <w:left w:w="0" w:type="dxa"/>
              <w:right w:w="28" w:type="dxa"/>
            </w:tcMar>
            <w:vAlign w:val="bottom"/>
          </w:tcPr>
          <w:p>
            <w:pPr>
              <w:pStyle w:val="TableContents"/>
              <w:bidi w:val="0"/>
              <w:spacing w:before="0" w:after="283"/>
              <w:jc w:val="left"/>
              <w:rPr/>
            </w:pPr>
            <w:r>
              <w:rPr/>
              <w:t> </w:t>
            </w:r>
          </w:p>
        </w:tc>
      </w:tr>
      <w:tr>
        <w:trPr/>
        <w:tc>
          <w:tcPr>
            <w:tcW w:w="4655" w:type="dxa"/>
            <w:tcBorders>
              <w:left w:val="single" w:sz="12" w:space="0" w:color="000000"/>
            </w:tcBorders>
            <w:tcMar>
              <w:top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2520" w:type="dxa"/>
            <w:gridSpan w:val="6"/>
            <w:tcBorders>
              <w:bottom w:val="single" w:sz="12" w:space="0" w:color="000000"/>
            </w:tcBorders>
            <w:tcMar>
              <w:top w:w="0" w:type="dxa"/>
              <w:left w:w="0" w:type="dxa"/>
              <w:bottom w:w="28" w:type="dxa"/>
            </w:tcMar>
            <w:vAlign w:val="bottom"/>
          </w:tcPr>
          <w:p>
            <w:pPr>
              <w:pStyle w:val="TableContents"/>
              <w:bidi w:val="0"/>
              <w:spacing w:before="0" w:after="0"/>
              <w:jc w:val="center"/>
              <w:rPr>
                <w:b/>
                <w:color w:val="000000"/>
              </w:rPr>
            </w:pPr>
            <w:r>
              <w:rPr>
                <w:b/>
                <w:color w:val="000000"/>
              </w:rPr>
              <w:t>Convertible</w:t>
            </w:r>
          </w:p>
          <w:p>
            <w:pPr>
              <w:pStyle w:val="TableContents"/>
              <w:bidi w:val="0"/>
              <w:spacing w:before="0" w:after="0"/>
              <w:jc w:val="center"/>
              <w:rPr>
                <w:b/>
                <w:color w:val="000000"/>
              </w:rPr>
            </w:pPr>
            <w:r>
              <w:rPr>
                <w:b/>
                <w:color w:val="000000"/>
              </w:rPr>
              <w:t>Preferred Stock</w:t>
            </w:r>
          </w:p>
        </w:tc>
        <w:tc>
          <w:tcPr>
            <w:tcW w:w="60" w:type="dxa"/>
            <w:tcBorders/>
            <w:tcMar>
              <w:top w:w="0" w:type="dxa"/>
              <w:left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2140" w:type="dxa"/>
            <w:gridSpan w:val="6"/>
            <w:tcBorders>
              <w:bottom w:val="single" w:sz="12" w:space="0" w:color="000000"/>
            </w:tcBorders>
            <w:tcMar>
              <w:top w:w="0" w:type="dxa"/>
              <w:left w:w="0" w:type="dxa"/>
              <w:bottom w:w="28" w:type="dxa"/>
            </w:tcMar>
            <w:vAlign w:val="bottom"/>
          </w:tcPr>
          <w:p>
            <w:pPr>
              <w:pStyle w:val="TableContents"/>
              <w:bidi w:val="0"/>
              <w:spacing w:before="0" w:after="0"/>
              <w:jc w:val="center"/>
              <w:rPr>
                <w:b/>
                <w:color w:val="000000"/>
              </w:rPr>
            </w:pPr>
            <w:r>
              <w:rPr>
                <w:b/>
                <w:color w:val="000000"/>
              </w:rPr>
              <w:t>Common Stock</w:t>
            </w:r>
          </w:p>
        </w:tc>
        <w:tc>
          <w:tcPr>
            <w:tcW w:w="95" w:type="dxa"/>
            <w:tcBorders/>
            <w:tcMar>
              <w:top w:w="0" w:type="dxa"/>
              <w:left w:w="0" w:type="dxa"/>
            </w:tcMar>
            <w:vAlign w:val="bottom"/>
          </w:tcPr>
          <w:p>
            <w:pPr>
              <w:pStyle w:val="TableContents"/>
              <w:bidi w:val="0"/>
              <w:spacing w:before="0" w:after="283"/>
              <w:jc w:val="left"/>
              <w:rPr/>
            </w:pPr>
            <w:r>
              <w:rPr/>
              <w:t> </w:t>
            </w:r>
          </w:p>
        </w:tc>
        <w:tc>
          <w:tcPr>
            <w:tcW w:w="60" w:type="dxa"/>
            <w:vMerge w:val="restart"/>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1100" w:type="dxa"/>
            <w:gridSpan w:val="2"/>
            <w:vMerge w:val="restart"/>
            <w:tcBorders>
              <w:bottom w:val="single" w:sz="12" w:space="0" w:color="000000"/>
            </w:tcBorders>
            <w:tcMar>
              <w:top w:w="0" w:type="dxa"/>
              <w:left w:w="0" w:type="dxa"/>
              <w:bottom w:w="28" w:type="dxa"/>
            </w:tcMar>
            <w:vAlign w:val="bottom"/>
          </w:tcPr>
          <w:p>
            <w:pPr>
              <w:pStyle w:val="TableContents"/>
              <w:bidi w:val="0"/>
              <w:spacing w:before="0" w:after="0"/>
              <w:jc w:val="center"/>
              <w:rPr>
                <w:b/>
                <w:color w:val="000000"/>
              </w:rPr>
            </w:pPr>
            <w:r>
              <w:rPr>
                <w:b/>
                <w:color w:val="000000"/>
              </w:rPr>
              <w:t>Additional</w:t>
            </w:r>
          </w:p>
          <w:p>
            <w:pPr>
              <w:pStyle w:val="TableContents"/>
              <w:bidi w:val="0"/>
              <w:spacing w:before="0" w:after="0"/>
              <w:jc w:val="center"/>
              <w:rPr>
                <w:b/>
                <w:color w:val="000000"/>
              </w:rPr>
            </w:pPr>
            <w:r>
              <w:rPr>
                <w:b/>
                <w:color w:val="000000"/>
              </w:rPr>
              <w:t>Paid-in</w:t>
            </w:r>
          </w:p>
          <w:p>
            <w:pPr>
              <w:pStyle w:val="TableContents"/>
              <w:bidi w:val="0"/>
              <w:spacing w:before="0" w:after="0"/>
              <w:jc w:val="center"/>
              <w:rPr>
                <w:b/>
                <w:color w:val="000000"/>
              </w:rPr>
            </w:pPr>
            <w:r>
              <w:rPr>
                <w:b/>
                <w:color w:val="000000"/>
              </w:rPr>
              <w:t>Capital</w:t>
            </w:r>
          </w:p>
        </w:tc>
        <w:tc>
          <w:tcPr>
            <w:tcW w:w="60" w:type="dxa"/>
            <w:vMerge w:val="restart"/>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60" w:type="dxa"/>
            <w:vMerge w:val="restart"/>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1610" w:type="dxa"/>
            <w:gridSpan w:val="2"/>
            <w:vMerge w:val="restart"/>
            <w:tcBorders>
              <w:bottom w:val="single" w:sz="12" w:space="0" w:color="000000"/>
            </w:tcBorders>
            <w:tcMar>
              <w:top w:w="0" w:type="dxa"/>
              <w:left w:w="0" w:type="dxa"/>
              <w:bottom w:w="28" w:type="dxa"/>
            </w:tcMar>
            <w:vAlign w:val="bottom"/>
          </w:tcPr>
          <w:p>
            <w:pPr>
              <w:pStyle w:val="TableContents"/>
              <w:bidi w:val="0"/>
              <w:spacing w:before="0" w:after="0"/>
              <w:jc w:val="center"/>
              <w:rPr>
                <w:b/>
                <w:color w:val="000000"/>
              </w:rPr>
            </w:pPr>
            <w:r>
              <w:rPr>
                <w:b/>
                <w:color w:val="000000"/>
              </w:rPr>
              <w:t>Accumulated</w:t>
            </w:r>
          </w:p>
          <w:p>
            <w:pPr>
              <w:pStyle w:val="TableContents"/>
              <w:bidi w:val="0"/>
              <w:spacing w:before="0" w:after="0"/>
              <w:jc w:val="center"/>
              <w:rPr>
                <w:b/>
                <w:color w:val="000000"/>
              </w:rPr>
            </w:pPr>
            <w:r>
              <w:rPr>
                <w:b/>
                <w:color w:val="000000"/>
              </w:rPr>
              <w:t>Other</w:t>
            </w:r>
          </w:p>
          <w:p>
            <w:pPr>
              <w:pStyle w:val="TableContents"/>
              <w:bidi w:val="0"/>
              <w:spacing w:before="0" w:after="0"/>
              <w:jc w:val="center"/>
              <w:rPr>
                <w:b/>
                <w:color w:val="000000"/>
              </w:rPr>
            </w:pPr>
            <w:r>
              <w:rPr>
                <w:b/>
                <w:color w:val="000000"/>
              </w:rPr>
              <w:t>Comprehensive</w:t>
            </w:r>
          </w:p>
          <w:p>
            <w:pPr>
              <w:pStyle w:val="TableContents"/>
              <w:bidi w:val="0"/>
              <w:spacing w:before="0" w:after="0"/>
              <w:jc w:val="center"/>
              <w:rPr>
                <w:b/>
                <w:color w:val="000000"/>
              </w:rPr>
            </w:pPr>
            <w:r>
              <w:rPr>
                <w:b/>
                <w:color w:val="000000"/>
              </w:rPr>
              <w:t>Gain (Loss)</w:t>
            </w:r>
          </w:p>
        </w:tc>
        <w:tc>
          <w:tcPr>
            <w:tcW w:w="95" w:type="dxa"/>
            <w:vMerge w:val="restart"/>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60" w:type="dxa"/>
            <w:vMerge w:val="restart"/>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1370" w:type="dxa"/>
            <w:gridSpan w:val="2"/>
            <w:vMerge w:val="restart"/>
            <w:tcBorders>
              <w:bottom w:val="single" w:sz="12" w:space="0" w:color="000000"/>
            </w:tcBorders>
            <w:tcMar>
              <w:top w:w="0" w:type="dxa"/>
              <w:left w:w="0" w:type="dxa"/>
              <w:bottom w:w="28" w:type="dxa"/>
            </w:tcMar>
            <w:vAlign w:val="bottom"/>
          </w:tcPr>
          <w:p>
            <w:pPr>
              <w:pStyle w:val="TableContents"/>
              <w:bidi w:val="0"/>
              <w:spacing w:before="0" w:after="0"/>
              <w:jc w:val="center"/>
              <w:rPr>
                <w:b/>
                <w:color w:val="000000"/>
              </w:rPr>
            </w:pPr>
            <w:r>
              <w:rPr>
                <w:b/>
                <w:color w:val="000000"/>
              </w:rPr>
              <w:t>Accumulated</w:t>
            </w:r>
          </w:p>
          <w:p>
            <w:pPr>
              <w:pStyle w:val="TableContents"/>
              <w:bidi w:val="0"/>
              <w:spacing w:before="0" w:after="0"/>
              <w:jc w:val="center"/>
              <w:rPr>
                <w:b/>
                <w:color w:val="000000"/>
              </w:rPr>
            </w:pPr>
            <w:r>
              <w:rPr>
                <w:b/>
                <w:color w:val="000000"/>
              </w:rPr>
              <w:t>Deficit</w:t>
            </w:r>
          </w:p>
        </w:tc>
        <w:tc>
          <w:tcPr>
            <w:tcW w:w="95" w:type="dxa"/>
            <w:vMerge w:val="restart"/>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60" w:type="dxa"/>
            <w:vMerge w:val="restart"/>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1340" w:type="dxa"/>
            <w:gridSpan w:val="2"/>
            <w:vMerge w:val="restart"/>
            <w:tcBorders>
              <w:bottom w:val="single" w:sz="12" w:space="0" w:color="000000"/>
            </w:tcBorders>
            <w:tcMar>
              <w:top w:w="0" w:type="dxa"/>
              <w:left w:w="0" w:type="dxa"/>
              <w:bottom w:w="28" w:type="dxa"/>
            </w:tcMar>
            <w:vAlign w:val="bottom"/>
          </w:tcPr>
          <w:p>
            <w:pPr>
              <w:pStyle w:val="TableContents"/>
              <w:bidi w:val="0"/>
              <w:spacing w:before="0" w:after="0"/>
              <w:jc w:val="center"/>
              <w:rPr>
                <w:b/>
                <w:color w:val="000000"/>
              </w:rPr>
            </w:pPr>
            <w:r>
              <w:rPr>
                <w:b/>
                <w:color w:val="000000"/>
              </w:rPr>
              <w:t>Total</w:t>
            </w:r>
          </w:p>
          <w:p>
            <w:pPr>
              <w:pStyle w:val="TableContents"/>
              <w:bidi w:val="0"/>
              <w:spacing w:before="0" w:after="0"/>
              <w:jc w:val="center"/>
              <w:rPr>
                <w:b/>
                <w:color w:val="000000"/>
              </w:rPr>
            </w:pPr>
            <w:r>
              <w:rPr>
                <w:b/>
                <w:color w:val="000000"/>
              </w:rPr>
              <w:t>Stockholders’</w:t>
            </w:r>
          </w:p>
          <w:p>
            <w:pPr>
              <w:pStyle w:val="TableContents"/>
              <w:bidi w:val="0"/>
              <w:spacing w:before="0" w:after="0"/>
              <w:jc w:val="center"/>
              <w:rPr>
                <w:b/>
                <w:color w:val="000000"/>
              </w:rPr>
            </w:pPr>
            <w:r>
              <w:rPr>
                <w:b/>
                <w:color w:val="000000"/>
              </w:rPr>
              <w:t>Deficit</w:t>
            </w:r>
          </w:p>
        </w:tc>
        <w:tc>
          <w:tcPr>
            <w:tcW w:w="95" w:type="dxa"/>
            <w:vMerge w:val="restart"/>
            <w:tcBorders>
              <w:bottom w:val="single" w:sz="12" w:space="0" w:color="000000"/>
              <w:right w:val="single" w:sz="12" w:space="0" w:color="000000"/>
            </w:tcBorders>
            <w:tcMar>
              <w:top w:w="0" w:type="dxa"/>
              <w:left w:w="0" w:type="dxa"/>
              <w:bottom w:w="28" w:type="dxa"/>
              <w:right w:w="28" w:type="dxa"/>
            </w:tcMar>
            <w:vAlign w:val="bottom"/>
          </w:tcPr>
          <w:p>
            <w:pPr>
              <w:pStyle w:val="TableContents"/>
              <w:bidi w:val="0"/>
              <w:spacing w:before="0" w:after="283"/>
              <w:jc w:val="left"/>
              <w:rPr/>
            </w:pPr>
            <w:r>
              <w:rPr/>
              <w:t> </w:t>
            </w:r>
          </w:p>
        </w:tc>
      </w:tr>
      <w:tr>
        <w:trPr/>
        <w:tc>
          <w:tcPr>
            <w:tcW w:w="4655" w:type="dxa"/>
            <w:tcBorders>
              <w:left w:val="single" w:sz="12" w:space="0" w:color="000000"/>
              <w:bottom w:val="single" w:sz="12" w:space="0" w:color="000000"/>
            </w:tcBorders>
            <w:tcMar>
              <w:top w:w="0" w:type="dxa"/>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1280" w:type="dxa"/>
            <w:gridSpan w:val="2"/>
            <w:tcBorders>
              <w:bottom w:val="single" w:sz="12" w:space="0" w:color="000000"/>
            </w:tcBorders>
            <w:tcMar>
              <w:top w:w="0" w:type="dxa"/>
              <w:left w:w="0" w:type="dxa"/>
              <w:bottom w:w="28" w:type="dxa"/>
            </w:tcMar>
            <w:vAlign w:val="bottom"/>
          </w:tcPr>
          <w:p>
            <w:pPr>
              <w:pStyle w:val="TableContents"/>
              <w:bidi w:val="0"/>
              <w:spacing w:before="0" w:after="0"/>
              <w:jc w:val="center"/>
              <w:rPr>
                <w:b/>
                <w:color w:val="000000"/>
              </w:rPr>
            </w:pPr>
            <w:r>
              <w:rPr>
                <w:b/>
                <w:color w:val="000000"/>
              </w:rPr>
              <w:t>Shares</w:t>
            </w:r>
          </w:p>
        </w:tc>
        <w:tc>
          <w:tcPr>
            <w:tcW w:w="60" w:type="dxa"/>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1120" w:type="dxa"/>
            <w:gridSpan w:val="2"/>
            <w:tcBorders>
              <w:bottom w:val="single" w:sz="12" w:space="0" w:color="000000"/>
            </w:tcBorders>
            <w:tcMar>
              <w:top w:w="0" w:type="dxa"/>
              <w:left w:w="0" w:type="dxa"/>
              <w:bottom w:w="28" w:type="dxa"/>
            </w:tcMar>
            <w:vAlign w:val="bottom"/>
          </w:tcPr>
          <w:p>
            <w:pPr>
              <w:pStyle w:val="TableContents"/>
              <w:bidi w:val="0"/>
              <w:spacing w:before="0" w:after="0"/>
              <w:jc w:val="center"/>
              <w:rPr>
                <w:b/>
                <w:color w:val="000000"/>
              </w:rPr>
            </w:pPr>
            <w:r>
              <w:rPr>
                <w:b/>
                <w:color w:val="000000"/>
              </w:rPr>
              <w:t>Amount</w:t>
            </w:r>
          </w:p>
        </w:tc>
        <w:tc>
          <w:tcPr>
            <w:tcW w:w="60" w:type="dxa"/>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60" w:type="dxa"/>
            <w:tcBorders>
              <w:left w:val="single" w:sz="12" w:space="0" w:color="000000"/>
              <w:bottom w:val="single" w:sz="12" w:space="0" w:color="000000"/>
            </w:tcBorders>
            <w:tcMar>
              <w:top w:w="0" w:type="dxa"/>
              <w:bottom w:w="28" w:type="dxa"/>
            </w:tcMar>
            <w:vAlign w:val="bottom"/>
          </w:tcPr>
          <w:p>
            <w:pPr>
              <w:pStyle w:val="TableContents"/>
              <w:bidi w:val="0"/>
              <w:spacing w:before="0" w:after="283"/>
              <w:jc w:val="left"/>
              <w:rPr/>
            </w:pPr>
            <w:r>
              <w:rPr/>
              <w:t> </w:t>
            </w:r>
          </w:p>
        </w:tc>
        <w:tc>
          <w:tcPr>
            <w:tcW w:w="1160" w:type="dxa"/>
            <w:gridSpan w:val="2"/>
            <w:tcBorders>
              <w:bottom w:val="single" w:sz="12" w:space="0" w:color="000000"/>
            </w:tcBorders>
            <w:tcMar>
              <w:top w:w="0" w:type="dxa"/>
              <w:left w:w="0" w:type="dxa"/>
              <w:bottom w:w="28" w:type="dxa"/>
            </w:tcMar>
            <w:vAlign w:val="bottom"/>
          </w:tcPr>
          <w:p>
            <w:pPr>
              <w:pStyle w:val="TableContents"/>
              <w:bidi w:val="0"/>
              <w:spacing w:before="0" w:after="0"/>
              <w:jc w:val="center"/>
              <w:rPr>
                <w:b/>
                <w:color w:val="000000"/>
              </w:rPr>
            </w:pPr>
            <w:r>
              <w:rPr>
                <w:b/>
                <w:color w:val="000000"/>
              </w:rPr>
              <w:t>Shares</w:t>
            </w:r>
          </w:p>
        </w:tc>
        <w:tc>
          <w:tcPr>
            <w:tcW w:w="60" w:type="dxa"/>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860" w:type="dxa"/>
            <w:gridSpan w:val="2"/>
            <w:tcBorders>
              <w:bottom w:val="single" w:sz="12" w:space="0" w:color="000000"/>
            </w:tcBorders>
            <w:tcMar>
              <w:top w:w="0" w:type="dxa"/>
              <w:left w:w="0" w:type="dxa"/>
              <w:bottom w:w="28" w:type="dxa"/>
            </w:tcMar>
            <w:vAlign w:val="bottom"/>
          </w:tcPr>
          <w:p>
            <w:pPr>
              <w:pStyle w:val="TableContents"/>
              <w:bidi w:val="0"/>
              <w:spacing w:before="0" w:after="0"/>
              <w:jc w:val="center"/>
              <w:rPr>
                <w:b/>
                <w:color w:val="000000"/>
              </w:rPr>
            </w:pPr>
            <w:r>
              <w:rPr>
                <w:b/>
                <w:color w:val="000000"/>
              </w:rPr>
              <w:t>Amount</w:t>
            </w:r>
          </w:p>
        </w:tc>
        <w:tc>
          <w:tcPr>
            <w:tcW w:w="95" w:type="dxa"/>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60" w:type="dxa"/>
            <w:vMerge w:val="continue"/>
            <w:tcBorders>
              <w:bottom w:val="single" w:sz="12" w:space="0" w:color="000000"/>
            </w:tcBorders>
            <w:tcMar>
              <w:top w:w="0" w:type="dxa"/>
              <w:left w:w="0" w:type="dxa"/>
              <w:bottom w:w="28" w:type="dxa"/>
            </w:tcMar>
            <w:vAlign w:val="bottom"/>
          </w:tcPr>
          <w:p>
            <w:pPr>
              <w:pStyle w:val="Normal"/>
              <w:bidi w:val="0"/>
              <w:jc w:val="left"/>
              <w:rPr/>
            </w:pPr>
            <w:r>
              <w:rPr/>
            </w:r>
          </w:p>
        </w:tc>
        <w:tc>
          <w:tcPr>
            <w:tcW w:w="1100" w:type="dxa"/>
            <w:gridSpan w:val="2"/>
            <w:vMerge w:val="continue"/>
            <w:tcBorders>
              <w:bottom w:val="single" w:sz="12" w:space="0" w:color="000000"/>
            </w:tcBorders>
            <w:tcMar>
              <w:top w:w="0" w:type="dxa"/>
              <w:left w:w="0" w:type="dxa"/>
              <w:bottom w:w="28" w:type="dxa"/>
            </w:tcMar>
            <w:vAlign w:val="bottom"/>
          </w:tcPr>
          <w:p>
            <w:pPr>
              <w:pStyle w:val="Normal"/>
              <w:bidi w:val="0"/>
              <w:jc w:val="left"/>
              <w:rPr/>
            </w:pPr>
            <w:r>
              <w:rPr/>
            </w:r>
          </w:p>
        </w:tc>
        <w:tc>
          <w:tcPr>
            <w:tcW w:w="60" w:type="dxa"/>
            <w:vMerge w:val="continue"/>
            <w:tcBorders>
              <w:bottom w:val="single" w:sz="12" w:space="0" w:color="000000"/>
            </w:tcBorders>
            <w:tcMar>
              <w:top w:w="0" w:type="dxa"/>
              <w:left w:w="0" w:type="dxa"/>
              <w:bottom w:w="28" w:type="dxa"/>
            </w:tcMar>
            <w:vAlign w:val="bottom"/>
          </w:tcPr>
          <w:p>
            <w:pPr>
              <w:pStyle w:val="Normal"/>
              <w:bidi w:val="0"/>
              <w:jc w:val="left"/>
              <w:rPr/>
            </w:pPr>
            <w:r>
              <w:rPr/>
            </w:r>
          </w:p>
        </w:tc>
        <w:tc>
          <w:tcPr>
            <w:tcW w:w="60" w:type="dxa"/>
            <w:vMerge w:val="continue"/>
            <w:tcBorders>
              <w:bottom w:val="single" w:sz="12" w:space="0" w:color="000000"/>
            </w:tcBorders>
            <w:tcMar>
              <w:top w:w="0" w:type="dxa"/>
              <w:left w:w="0" w:type="dxa"/>
              <w:bottom w:w="28" w:type="dxa"/>
            </w:tcMar>
            <w:vAlign w:val="bottom"/>
          </w:tcPr>
          <w:p>
            <w:pPr>
              <w:pStyle w:val="Normal"/>
              <w:bidi w:val="0"/>
              <w:jc w:val="left"/>
              <w:rPr/>
            </w:pPr>
            <w:r>
              <w:rPr/>
            </w:r>
          </w:p>
        </w:tc>
        <w:tc>
          <w:tcPr>
            <w:tcW w:w="1610" w:type="dxa"/>
            <w:gridSpan w:val="2"/>
            <w:vMerge w:val="continue"/>
            <w:tcBorders>
              <w:bottom w:val="single" w:sz="12" w:space="0" w:color="000000"/>
            </w:tcBorders>
            <w:tcMar>
              <w:top w:w="0" w:type="dxa"/>
              <w:left w:w="0" w:type="dxa"/>
              <w:bottom w:w="28" w:type="dxa"/>
            </w:tcMar>
            <w:vAlign w:val="bottom"/>
          </w:tcPr>
          <w:p>
            <w:pPr>
              <w:pStyle w:val="Normal"/>
              <w:bidi w:val="0"/>
              <w:jc w:val="left"/>
              <w:rPr/>
            </w:pPr>
            <w:r>
              <w:rPr/>
            </w:r>
          </w:p>
        </w:tc>
        <w:tc>
          <w:tcPr>
            <w:tcW w:w="95" w:type="dxa"/>
            <w:vMerge w:val="continue"/>
            <w:tcBorders>
              <w:bottom w:val="single" w:sz="12" w:space="0" w:color="000000"/>
            </w:tcBorders>
            <w:tcMar>
              <w:top w:w="0" w:type="dxa"/>
              <w:left w:w="0" w:type="dxa"/>
              <w:bottom w:w="28" w:type="dxa"/>
            </w:tcMar>
            <w:vAlign w:val="bottom"/>
          </w:tcPr>
          <w:p>
            <w:pPr>
              <w:pStyle w:val="Normal"/>
              <w:bidi w:val="0"/>
              <w:jc w:val="left"/>
              <w:rPr/>
            </w:pPr>
            <w:r>
              <w:rPr/>
            </w:r>
          </w:p>
        </w:tc>
        <w:tc>
          <w:tcPr>
            <w:tcW w:w="60" w:type="dxa"/>
            <w:vMerge w:val="continue"/>
            <w:tcBorders>
              <w:bottom w:val="single" w:sz="12" w:space="0" w:color="000000"/>
            </w:tcBorders>
            <w:tcMar>
              <w:top w:w="0" w:type="dxa"/>
              <w:left w:w="0" w:type="dxa"/>
              <w:bottom w:w="28" w:type="dxa"/>
            </w:tcMar>
            <w:vAlign w:val="bottom"/>
          </w:tcPr>
          <w:p>
            <w:pPr>
              <w:pStyle w:val="Normal"/>
              <w:bidi w:val="0"/>
              <w:jc w:val="left"/>
              <w:rPr/>
            </w:pPr>
            <w:r>
              <w:rPr/>
            </w:r>
          </w:p>
        </w:tc>
        <w:tc>
          <w:tcPr>
            <w:tcW w:w="1370" w:type="dxa"/>
            <w:gridSpan w:val="2"/>
            <w:vMerge w:val="continue"/>
            <w:tcBorders>
              <w:bottom w:val="single" w:sz="12" w:space="0" w:color="000000"/>
            </w:tcBorders>
            <w:tcMar>
              <w:top w:w="0" w:type="dxa"/>
              <w:left w:w="0" w:type="dxa"/>
              <w:bottom w:w="28" w:type="dxa"/>
            </w:tcMar>
            <w:vAlign w:val="bottom"/>
          </w:tcPr>
          <w:p>
            <w:pPr>
              <w:pStyle w:val="Normal"/>
              <w:bidi w:val="0"/>
              <w:jc w:val="left"/>
              <w:rPr/>
            </w:pPr>
            <w:r>
              <w:rPr/>
            </w:r>
          </w:p>
        </w:tc>
        <w:tc>
          <w:tcPr>
            <w:tcW w:w="95" w:type="dxa"/>
            <w:vMerge w:val="continue"/>
            <w:tcBorders>
              <w:bottom w:val="single" w:sz="12" w:space="0" w:color="000000"/>
              <w:right w:val="single" w:sz="12" w:space="0" w:color="000000"/>
            </w:tcBorders>
            <w:tcMar>
              <w:top w:w="0" w:type="dxa"/>
              <w:left w:w="0" w:type="dxa"/>
              <w:bottom w:w="28" w:type="dxa"/>
              <w:right w:w="28" w:type="dxa"/>
            </w:tcMar>
            <w:vAlign w:val="bottom"/>
          </w:tcPr>
          <w:p>
            <w:pPr>
              <w:pStyle w:val="Normal"/>
              <w:bidi w:val="0"/>
              <w:jc w:val="left"/>
              <w:rPr/>
            </w:pPr>
            <w:r>
              <w:rPr/>
            </w:r>
          </w:p>
        </w:tc>
        <w:tc>
          <w:tcPr>
            <w:tcW w:w="60" w:type="dxa"/>
            <w:vMerge w:val="continue"/>
            <w:tcBorders>
              <w:bottom w:val="single" w:sz="12" w:space="0" w:color="000000"/>
            </w:tcBorders>
            <w:tcMar>
              <w:top w:w="0" w:type="dxa"/>
              <w:left w:w="0" w:type="dxa"/>
              <w:bottom w:w="28" w:type="dxa"/>
            </w:tcMar>
            <w:vAlign w:val="bottom"/>
          </w:tcPr>
          <w:p>
            <w:pPr>
              <w:pStyle w:val="Normal"/>
              <w:bidi w:val="0"/>
              <w:jc w:val="left"/>
              <w:rPr/>
            </w:pPr>
            <w:r>
              <w:rPr/>
            </w:r>
          </w:p>
        </w:tc>
        <w:tc>
          <w:tcPr>
            <w:tcW w:w="1340" w:type="dxa"/>
            <w:gridSpan w:val="2"/>
            <w:vMerge w:val="continue"/>
            <w:tcBorders>
              <w:bottom w:val="single" w:sz="12" w:space="0" w:color="000000"/>
            </w:tcBorders>
            <w:tcMar>
              <w:top w:w="0" w:type="dxa"/>
              <w:left w:w="0" w:type="dxa"/>
              <w:bottom w:w="28" w:type="dxa"/>
            </w:tcMar>
            <w:vAlign w:val="bottom"/>
          </w:tcPr>
          <w:p>
            <w:pPr>
              <w:pStyle w:val="Normal"/>
              <w:bidi w:val="0"/>
              <w:jc w:val="left"/>
              <w:rPr/>
            </w:pPr>
            <w:r>
              <w:rPr/>
            </w:r>
          </w:p>
        </w:tc>
        <w:tc>
          <w:tcPr>
            <w:tcW w:w="95" w:type="dxa"/>
            <w:vMerge w:val="continue"/>
            <w:tcBorders>
              <w:bottom w:val="single" w:sz="12" w:space="0" w:color="000000"/>
              <w:right w:val="single" w:sz="12" w:space="0" w:color="000000"/>
            </w:tcBorders>
            <w:tcMar>
              <w:top w:w="0" w:type="dxa"/>
              <w:left w:w="0" w:type="dxa"/>
              <w:bottom w:w="28" w:type="dxa"/>
              <w:right w:w="28" w:type="dxa"/>
            </w:tcMar>
            <w:vAlign w:val="bottom"/>
          </w:tcPr>
          <w:p>
            <w:pPr>
              <w:pStyle w:val="Normal"/>
              <w:bidi w:val="0"/>
              <w:jc w:val="left"/>
              <w:rPr/>
            </w:pPr>
            <w:r>
              <w:rPr/>
            </w:r>
          </w:p>
        </w:tc>
      </w:tr>
      <w:tr>
        <w:trPr/>
        <w:tc>
          <w:tcPr>
            <w:tcW w:w="4655" w:type="dxa"/>
            <w:tcBorders>
              <w:left w:val="single" w:sz="12" w:space="0" w:color="000000"/>
            </w:tcBorders>
            <w:shd w:fill="CCEEFF" w:val="clear"/>
            <w:tcMar>
              <w:top w:w="0" w:type="dxa"/>
            </w:tcMar>
            <w:vAlign w:val="bottom"/>
          </w:tcPr>
          <w:p>
            <w:pPr>
              <w:pStyle w:val="TableContents"/>
              <w:bidi w:val="0"/>
              <w:spacing w:before="0" w:after="0"/>
              <w:ind w:left="144" w:right="0" w:hanging="144"/>
              <w:jc w:val="left"/>
              <w:rPr>
                <w:b/>
                <w:color w:val="000000"/>
              </w:rPr>
            </w:pPr>
            <w:r>
              <w:rPr>
                <w:b/>
                <w:color w:val="000000"/>
              </w:rPr>
              <w:t>Balance as of March 31, 2025</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1220" w:type="dxa"/>
            <w:tcBorders/>
            <w:shd w:fill="CCEEFF" w:val="clear"/>
            <w:tcMar>
              <w:top w:w="0" w:type="dxa"/>
              <w:left w:w="0" w:type="dxa"/>
            </w:tcMar>
            <w:vAlign w:val="bottom"/>
          </w:tcPr>
          <w:p>
            <w:pPr>
              <w:pStyle w:val="TableContents"/>
              <w:bidi w:val="0"/>
              <w:spacing w:before="0" w:after="0"/>
              <w:jc w:val="right"/>
              <w:rPr>
                <w:color w:val="000000"/>
              </w:rPr>
            </w:pPr>
            <w:r>
              <w:rPr>
                <w:color w:val="000000"/>
              </w:rPr>
              <w:t>212,541,832</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140" w:type="dxa"/>
            <w:tcBorders/>
            <w:shd w:fill="CCEEFF" w:val="clear"/>
            <w:tcMar>
              <w:top w:w="0" w:type="dxa"/>
              <w:left w:w="0" w:type="dxa"/>
            </w:tcMar>
            <w:vAlign w:val="bottom"/>
          </w:tcPr>
          <w:p>
            <w:pPr>
              <w:pStyle w:val="TableContents"/>
              <w:bidi w:val="0"/>
              <w:spacing w:before="0" w:after="0"/>
              <w:jc w:val="left"/>
              <w:rPr>
                <w:color w:val="000000"/>
              </w:rPr>
            </w:pPr>
            <w:r>
              <w:rPr>
                <w:color w:val="000000"/>
              </w:rPr>
              <w:t>$</w:t>
            </w:r>
          </w:p>
        </w:tc>
        <w:tc>
          <w:tcPr>
            <w:tcW w:w="980" w:type="dxa"/>
            <w:tcBorders/>
            <w:shd w:fill="CCEEFF" w:val="clear"/>
            <w:tcMar>
              <w:top w:w="0" w:type="dxa"/>
              <w:left w:w="0" w:type="dxa"/>
            </w:tcMar>
            <w:vAlign w:val="bottom"/>
          </w:tcPr>
          <w:p>
            <w:pPr>
              <w:pStyle w:val="TableContents"/>
              <w:bidi w:val="0"/>
              <w:spacing w:before="0" w:after="0"/>
              <w:jc w:val="right"/>
              <w:rPr>
                <w:color w:val="000000"/>
              </w:rPr>
            </w:pPr>
            <w:r>
              <w:rPr>
                <w:color w:val="000000"/>
              </w:rPr>
              <w:t>1,363,580</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left w:val="single" w:sz="12" w:space="0" w:color="000000"/>
            </w:tcBorders>
            <w:shd w:fill="CCEEFF" w:val="clear"/>
            <w:tcMar>
              <w:top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1100" w:type="dxa"/>
            <w:tcBorders/>
            <w:shd w:fill="CCEEFF" w:val="clear"/>
            <w:tcMar>
              <w:top w:w="0" w:type="dxa"/>
              <w:left w:w="0" w:type="dxa"/>
            </w:tcMar>
            <w:vAlign w:val="bottom"/>
          </w:tcPr>
          <w:p>
            <w:pPr>
              <w:pStyle w:val="TableContents"/>
              <w:bidi w:val="0"/>
              <w:spacing w:before="0" w:after="0"/>
              <w:jc w:val="right"/>
              <w:rPr>
                <w:color w:val="000000"/>
              </w:rPr>
            </w:pPr>
            <w:r>
              <w:rPr>
                <w:color w:val="000000"/>
              </w:rPr>
              <w:t>25,982,283</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301" w:type="dxa"/>
            <w:tcBorders/>
            <w:shd w:fill="CCEEFF" w:val="clear"/>
            <w:tcMar>
              <w:top w:w="0" w:type="dxa"/>
              <w:left w:w="0" w:type="dxa"/>
            </w:tcMar>
            <w:vAlign w:val="bottom"/>
          </w:tcPr>
          <w:p>
            <w:pPr>
              <w:pStyle w:val="TableContents"/>
              <w:bidi w:val="0"/>
              <w:spacing w:before="0" w:after="0"/>
              <w:jc w:val="left"/>
              <w:rPr>
                <w:color w:val="000000"/>
              </w:rPr>
            </w:pPr>
            <w:r>
              <w:rPr>
                <w:color w:val="000000"/>
              </w:rPr>
              <w:t>$</w:t>
            </w:r>
          </w:p>
        </w:tc>
        <w:tc>
          <w:tcPr>
            <w:tcW w:w="559" w:type="dxa"/>
            <w:tcBorders/>
            <w:shd w:fill="CCEEFF" w:val="clear"/>
            <w:tcMar>
              <w:top w:w="0" w:type="dxa"/>
              <w:left w:w="0" w:type="dxa"/>
            </w:tcMar>
            <w:vAlign w:val="bottom"/>
          </w:tcPr>
          <w:p>
            <w:pPr>
              <w:pStyle w:val="TableContents"/>
              <w:bidi w:val="0"/>
              <w:spacing w:before="0" w:after="0"/>
              <w:jc w:val="right"/>
              <w:rPr>
                <w:color w:val="000000"/>
              </w:rPr>
            </w:pPr>
            <w:r>
              <w:rPr>
                <w:color w:val="000000"/>
              </w:rPr>
              <w:t>3</w:t>
            </w:r>
          </w:p>
        </w:tc>
        <w:tc>
          <w:tcPr>
            <w:tcW w:w="95"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187" w:type="dxa"/>
            <w:tcBorders/>
            <w:shd w:fill="CCEEFF" w:val="clear"/>
            <w:tcMar>
              <w:top w:w="0" w:type="dxa"/>
              <w:left w:w="0" w:type="dxa"/>
            </w:tcMar>
            <w:vAlign w:val="bottom"/>
          </w:tcPr>
          <w:p>
            <w:pPr>
              <w:pStyle w:val="TableContents"/>
              <w:bidi w:val="0"/>
              <w:spacing w:before="0" w:after="0"/>
              <w:jc w:val="left"/>
              <w:rPr>
                <w:color w:val="000000"/>
              </w:rPr>
            </w:pPr>
            <w:r>
              <w:rPr>
                <w:color w:val="000000"/>
              </w:rPr>
              <w:t>$</w:t>
            </w:r>
          </w:p>
        </w:tc>
        <w:tc>
          <w:tcPr>
            <w:tcW w:w="913" w:type="dxa"/>
            <w:tcBorders/>
            <w:shd w:fill="CCEEFF" w:val="clear"/>
            <w:tcMar>
              <w:top w:w="0" w:type="dxa"/>
              <w:left w:w="0" w:type="dxa"/>
            </w:tcMar>
            <w:vAlign w:val="bottom"/>
          </w:tcPr>
          <w:p>
            <w:pPr>
              <w:pStyle w:val="TableContents"/>
              <w:bidi w:val="0"/>
              <w:spacing w:before="0" w:after="0"/>
              <w:jc w:val="right"/>
              <w:rPr>
                <w:color w:val="000000"/>
              </w:rPr>
            </w:pPr>
            <w:r>
              <w:rPr>
                <w:color w:val="000000"/>
              </w:rPr>
              <w:t>74,938</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563" w:type="dxa"/>
            <w:tcBorders/>
            <w:shd w:fill="CCEEFF" w:val="clear"/>
            <w:tcMar>
              <w:top w:w="0" w:type="dxa"/>
              <w:left w:w="0" w:type="dxa"/>
            </w:tcMar>
            <w:vAlign w:val="bottom"/>
          </w:tcPr>
          <w:p>
            <w:pPr>
              <w:pStyle w:val="TableContents"/>
              <w:bidi w:val="0"/>
              <w:spacing w:before="0" w:after="0"/>
              <w:jc w:val="left"/>
              <w:rPr>
                <w:color w:val="000000"/>
              </w:rPr>
            </w:pPr>
            <w:r>
              <w:rPr>
                <w:color w:val="000000"/>
              </w:rPr>
              <w:t>$</w:t>
            </w:r>
          </w:p>
        </w:tc>
        <w:tc>
          <w:tcPr>
            <w:tcW w:w="1047" w:type="dxa"/>
            <w:tcBorders/>
            <w:shd w:fill="CCEEFF" w:val="clear"/>
            <w:tcMar>
              <w:top w:w="0" w:type="dxa"/>
              <w:left w:w="0" w:type="dxa"/>
            </w:tcMar>
            <w:vAlign w:val="bottom"/>
          </w:tcPr>
          <w:p>
            <w:pPr>
              <w:pStyle w:val="TableContents"/>
              <w:bidi w:val="0"/>
              <w:spacing w:before="0" w:after="0"/>
              <w:jc w:val="right"/>
              <w:rPr>
                <w:color w:val="000000"/>
              </w:rPr>
            </w:pPr>
            <w:r>
              <w:rPr>
                <w:color w:val="000000"/>
              </w:rPr>
              <w:t>35</w:t>
            </w:r>
          </w:p>
        </w:tc>
        <w:tc>
          <w:tcPr>
            <w:tcW w:w="95"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160" w:type="dxa"/>
            <w:tcBorders/>
            <w:shd w:fill="CCEEFF" w:val="clear"/>
            <w:tcMar>
              <w:top w:w="0" w:type="dxa"/>
              <w:left w:w="0" w:type="dxa"/>
            </w:tcMar>
            <w:vAlign w:val="bottom"/>
          </w:tcPr>
          <w:p>
            <w:pPr>
              <w:pStyle w:val="TableContents"/>
              <w:bidi w:val="0"/>
              <w:spacing w:before="0" w:after="0"/>
              <w:jc w:val="left"/>
              <w:rPr>
                <w:color w:val="000000"/>
              </w:rPr>
            </w:pPr>
            <w:r>
              <w:rPr>
                <w:color w:val="000000"/>
              </w:rPr>
              <w:t>$</w:t>
            </w:r>
          </w:p>
        </w:tc>
        <w:tc>
          <w:tcPr>
            <w:tcW w:w="1210" w:type="dxa"/>
            <w:tcBorders/>
            <w:shd w:fill="CCEEFF" w:val="clear"/>
            <w:tcMar>
              <w:top w:w="0" w:type="dxa"/>
              <w:left w:w="0" w:type="dxa"/>
            </w:tcMar>
            <w:vAlign w:val="bottom"/>
          </w:tcPr>
          <w:p>
            <w:pPr>
              <w:pStyle w:val="TableContents"/>
              <w:bidi w:val="0"/>
              <w:spacing w:before="0" w:after="0"/>
              <w:jc w:val="right"/>
              <w:rPr>
                <w:color w:val="000000"/>
              </w:rPr>
            </w:pPr>
            <w:r>
              <w:rPr>
                <w:color w:val="000000"/>
              </w:rPr>
              <w:t>(1,185,636</w:t>
            </w:r>
          </w:p>
        </w:tc>
        <w:tc>
          <w:tcPr>
            <w:tcW w:w="95" w:type="dxa"/>
            <w:tcBorders/>
            <w:shd w:fill="CCEEFF" w:val="clear"/>
            <w:tcMar>
              <w:top w:w="0" w:type="dxa"/>
              <w:left w:w="0" w:type="dxa"/>
            </w:tcMar>
            <w:vAlign w:val="bottom"/>
          </w:tcPr>
          <w:p>
            <w:pPr>
              <w:pStyle w:val="TableContents"/>
              <w:bidi w:val="0"/>
              <w:spacing w:before="0" w:after="0"/>
              <w:jc w:val="left"/>
              <w:rPr>
                <w:color w:val="000000"/>
              </w:rPr>
            </w:pPr>
            <w:r>
              <w:rPr>
                <w:color w:val="000000"/>
              </w:rPr>
              <w:t>)</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156" w:type="dxa"/>
            <w:tcBorders/>
            <w:shd w:fill="CCEEFF" w:val="clear"/>
            <w:tcMar>
              <w:top w:w="0" w:type="dxa"/>
              <w:left w:w="0" w:type="dxa"/>
            </w:tcMar>
            <w:vAlign w:val="bottom"/>
          </w:tcPr>
          <w:p>
            <w:pPr>
              <w:pStyle w:val="TableContents"/>
              <w:bidi w:val="0"/>
              <w:spacing w:before="0" w:after="0"/>
              <w:jc w:val="left"/>
              <w:rPr>
                <w:color w:val="000000"/>
              </w:rPr>
            </w:pPr>
            <w:r>
              <w:rPr>
                <w:color w:val="000000"/>
              </w:rPr>
              <w:t>$</w:t>
            </w:r>
          </w:p>
        </w:tc>
        <w:tc>
          <w:tcPr>
            <w:tcW w:w="1184" w:type="dxa"/>
            <w:tcBorders/>
            <w:shd w:fill="CCEEFF" w:val="clear"/>
            <w:tcMar>
              <w:top w:w="0" w:type="dxa"/>
              <w:left w:w="0" w:type="dxa"/>
            </w:tcMar>
            <w:vAlign w:val="bottom"/>
          </w:tcPr>
          <w:p>
            <w:pPr>
              <w:pStyle w:val="TableContents"/>
              <w:bidi w:val="0"/>
              <w:spacing w:before="0" w:after="0"/>
              <w:jc w:val="right"/>
              <w:rPr>
                <w:color w:val="000000"/>
              </w:rPr>
            </w:pPr>
            <w:r>
              <w:rPr>
                <w:color w:val="000000"/>
              </w:rPr>
              <w:t>(1,110,660</w:t>
            </w:r>
          </w:p>
        </w:tc>
        <w:tc>
          <w:tcPr>
            <w:tcW w:w="95" w:type="dxa"/>
            <w:tcBorders>
              <w:right w:val="single" w:sz="12" w:space="0" w:color="000000"/>
            </w:tcBorders>
            <w:shd w:fill="CCEEFF" w:val="clear"/>
            <w:tcMar>
              <w:top w:w="0" w:type="dxa"/>
              <w:left w:w="0" w:type="dxa"/>
              <w:right w:w="28" w:type="dxa"/>
            </w:tcMar>
            <w:vAlign w:val="bottom"/>
          </w:tcPr>
          <w:p>
            <w:pPr>
              <w:pStyle w:val="TableContents"/>
              <w:bidi w:val="0"/>
              <w:spacing w:before="0" w:after="0"/>
              <w:jc w:val="left"/>
              <w:rPr>
                <w:color w:val="000000"/>
              </w:rPr>
            </w:pPr>
            <w:r>
              <w:rPr>
                <w:color w:val="000000"/>
              </w:rPr>
              <w:t>)</w:t>
            </w:r>
          </w:p>
        </w:tc>
      </w:tr>
      <w:tr>
        <w:trPr/>
        <w:tc>
          <w:tcPr>
            <w:tcW w:w="4655" w:type="dxa"/>
            <w:tcBorders>
              <w:left w:val="single" w:sz="12" w:space="0" w:color="000000"/>
            </w:tcBorders>
            <w:tcMar>
              <w:top w:w="0" w:type="dxa"/>
            </w:tcMar>
            <w:vAlign w:val="bottom"/>
          </w:tcPr>
          <w:p>
            <w:pPr>
              <w:pStyle w:val="TableContents"/>
              <w:bidi w:val="0"/>
              <w:spacing w:before="0" w:after="0"/>
              <w:ind w:left="144" w:right="0" w:hanging="144"/>
              <w:jc w:val="left"/>
              <w:rPr>
                <w:color w:val="000000"/>
              </w:rPr>
            </w:pPr>
            <w:r>
              <w:rPr>
                <w:color w:val="000000"/>
              </w:rPr>
              <w:t>Issuance of shares upon exercise of stock options</w:t>
            </w:r>
          </w:p>
        </w:tc>
        <w:tc>
          <w:tcPr>
            <w:tcW w:w="60" w:type="dxa"/>
            <w:tcBorders/>
            <w:tcMar>
              <w:top w:w="0" w:type="dxa"/>
              <w:left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1220" w:type="dxa"/>
            <w:tcBorders/>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tcMar>
              <w:top w:w="0" w:type="dxa"/>
              <w:left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140" w:type="dxa"/>
            <w:tcBorders/>
            <w:tcMar>
              <w:top w:w="0" w:type="dxa"/>
              <w:left w:w="0" w:type="dxa"/>
            </w:tcMar>
            <w:vAlign w:val="bottom"/>
          </w:tcPr>
          <w:p>
            <w:pPr>
              <w:pStyle w:val="TableContents"/>
              <w:bidi w:val="0"/>
              <w:spacing w:before="0" w:after="283"/>
              <w:jc w:val="left"/>
              <w:rPr/>
            </w:pPr>
            <w:r>
              <w:rPr/>
              <w:t> </w:t>
            </w:r>
          </w:p>
        </w:tc>
        <w:tc>
          <w:tcPr>
            <w:tcW w:w="980" w:type="dxa"/>
            <w:tcBorders/>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tcMar>
              <w:top w:w="0" w:type="dxa"/>
              <w:left w:w="0" w:type="dxa"/>
            </w:tcMar>
            <w:vAlign w:val="bottom"/>
          </w:tcPr>
          <w:p>
            <w:pPr>
              <w:pStyle w:val="TableContents"/>
              <w:bidi w:val="0"/>
              <w:spacing w:before="0" w:after="283"/>
              <w:jc w:val="left"/>
              <w:rPr/>
            </w:pPr>
            <w:r>
              <w:rPr/>
              <w:t> </w:t>
            </w:r>
          </w:p>
        </w:tc>
        <w:tc>
          <w:tcPr>
            <w:tcW w:w="60" w:type="dxa"/>
            <w:tcBorders>
              <w:left w:val="single" w:sz="12" w:space="0" w:color="000000"/>
            </w:tcBorders>
            <w:tcMar>
              <w:top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1100" w:type="dxa"/>
            <w:tcBorders/>
            <w:tcMar>
              <w:top w:w="0" w:type="dxa"/>
              <w:left w:w="0" w:type="dxa"/>
            </w:tcMar>
            <w:vAlign w:val="bottom"/>
          </w:tcPr>
          <w:p>
            <w:pPr>
              <w:pStyle w:val="TableContents"/>
              <w:bidi w:val="0"/>
              <w:spacing w:before="0" w:after="0"/>
              <w:jc w:val="right"/>
              <w:rPr>
                <w:color w:val="000000"/>
              </w:rPr>
            </w:pPr>
            <w:r>
              <w:rPr>
                <w:color w:val="000000"/>
              </w:rPr>
              <w:t>59,277</w:t>
            </w:r>
          </w:p>
        </w:tc>
        <w:tc>
          <w:tcPr>
            <w:tcW w:w="60" w:type="dxa"/>
            <w:tcBorders/>
            <w:tcMar>
              <w:top w:w="0" w:type="dxa"/>
              <w:left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301" w:type="dxa"/>
            <w:tcBorders/>
            <w:tcMar>
              <w:top w:w="0" w:type="dxa"/>
              <w:left w:w="0" w:type="dxa"/>
            </w:tcMar>
            <w:vAlign w:val="bottom"/>
          </w:tcPr>
          <w:p>
            <w:pPr>
              <w:pStyle w:val="TableContents"/>
              <w:bidi w:val="0"/>
              <w:spacing w:before="0" w:after="283"/>
              <w:jc w:val="left"/>
              <w:rPr/>
            </w:pPr>
            <w:r>
              <w:rPr/>
              <w:t> </w:t>
            </w:r>
          </w:p>
        </w:tc>
        <w:tc>
          <w:tcPr>
            <w:tcW w:w="559" w:type="dxa"/>
            <w:tcBorders/>
            <w:tcMar>
              <w:top w:w="0" w:type="dxa"/>
              <w:left w:w="0" w:type="dxa"/>
            </w:tcMar>
            <w:vAlign w:val="bottom"/>
          </w:tcPr>
          <w:p>
            <w:pPr>
              <w:pStyle w:val="TableContents"/>
              <w:bidi w:val="0"/>
              <w:spacing w:before="0" w:after="0"/>
              <w:jc w:val="right"/>
              <w:rPr>
                <w:color w:val="000000"/>
              </w:rPr>
            </w:pPr>
            <w:r>
              <w:rPr>
                <w:color w:val="000000"/>
              </w:rPr>
              <w:t>(1</w:t>
            </w:r>
          </w:p>
        </w:tc>
        <w:tc>
          <w:tcPr>
            <w:tcW w:w="95" w:type="dxa"/>
            <w:tcBorders/>
            <w:tcMar>
              <w:top w:w="0" w:type="dxa"/>
              <w:left w:w="0" w:type="dxa"/>
            </w:tcMar>
            <w:vAlign w:val="bottom"/>
          </w:tcPr>
          <w:p>
            <w:pPr>
              <w:pStyle w:val="TableContents"/>
              <w:bidi w:val="0"/>
              <w:spacing w:before="0" w:after="0"/>
              <w:jc w:val="left"/>
              <w:rPr>
                <w:color w:val="000000"/>
              </w:rPr>
            </w:pPr>
            <w:r>
              <w:rPr>
                <w:color w:val="000000"/>
              </w:rPr>
              <w:t>)</w:t>
            </w:r>
          </w:p>
        </w:tc>
        <w:tc>
          <w:tcPr>
            <w:tcW w:w="60" w:type="dxa"/>
            <w:tcBorders/>
            <w:tcMar>
              <w:top w:w="0" w:type="dxa"/>
              <w:left w:w="0" w:type="dxa"/>
            </w:tcMar>
            <w:vAlign w:val="bottom"/>
          </w:tcPr>
          <w:p>
            <w:pPr>
              <w:pStyle w:val="TableContents"/>
              <w:bidi w:val="0"/>
              <w:spacing w:before="0" w:after="283"/>
              <w:jc w:val="left"/>
              <w:rPr/>
            </w:pPr>
            <w:r>
              <w:rPr/>
              <w:t> </w:t>
            </w:r>
          </w:p>
        </w:tc>
        <w:tc>
          <w:tcPr>
            <w:tcW w:w="187" w:type="dxa"/>
            <w:tcBorders/>
            <w:tcMar>
              <w:top w:w="0" w:type="dxa"/>
              <w:left w:w="0" w:type="dxa"/>
            </w:tcMar>
            <w:vAlign w:val="bottom"/>
          </w:tcPr>
          <w:p>
            <w:pPr>
              <w:pStyle w:val="TableContents"/>
              <w:bidi w:val="0"/>
              <w:spacing w:before="0" w:after="283"/>
              <w:jc w:val="left"/>
              <w:rPr/>
            </w:pPr>
            <w:r>
              <w:rPr/>
              <w:t> </w:t>
            </w:r>
          </w:p>
        </w:tc>
        <w:tc>
          <w:tcPr>
            <w:tcW w:w="913" w:type="dxa"/>
            <w:tcBorders/>
            <w:tcMar>
              <w:top w:w="0" w:type="dxa"/>
              <w:left w:w="0" w:type="dxa"/>
            </w:tcMar>
            <w:vAlign w:val="bottom"/>
          </w:tcPr>
          <w:p>
            <w:pPr>
              <w:pStyle w:val="TableContents"/>
              <w:bidi w:val="0"/>
              <w:spacing w:before="0" w:after="0"/>
              <w:jc w:val="right"/>
              <w:rPr>
                <w:color w:val="000000"/>
              </w:rPr>
            </w:pPr>
            <w:r>
              <w:rPr>
                <w:color w:val="000000"/>
              </w:rPr>
              <w:t>83</w:t>
            </w:r>
          </w:p>
        </w:tc>
        <w:tc>
          <w:tcPr>
            <w:tcW w:w="60" w:type="dxa"/>
            <w:tcBorders/>
            <w:tcMar>
              <w:top w:w="0" w:type="dxa"/>
              <w:left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563" w:type="dxa"/>
            <w:tcBorders/>
            <w:tcMar>
              <w:top w:w="0" w:type="dxa"/>
              <w:left w:w="0" w:type="dxa"/>
            </w:tcMar>
            <w:vAlign w:val="bottom"/>
          </w:tcPr>
          <w:p>
            <w:pPr>
              <w:pStyle w:val="TableContents"/>
              <w:bidi w:val="0"/>
              <w:spacing w:before="0" w:after="283"/>
              <w:jc w:val="left"/>
              <w:rPr/>
            </w:pPr>
            <w:r>
              <w:rPr/>
              <w:t> </w:t>
            </w:r>
          </w:p>
        </w:tc>
        <w:tc>
          <w:tcPr>
            <w:tcW w:w="1047" w:type="dxa"/>
            <w:tcBorders/>
            <w:tcMar>
              <w:top w:w="0" w:type="dxa"/>
              <w:left w:w="0" w:type="dxa"/>
            </w:tcMar>
            <w:vAlign w:val="bottom"/>
          </w:tcPr>
          <w:p>
            <w:pPr>
              <w:pStyle w:val="TableContents"/>
              <w:bidi w:val="0"/>
              <w:spacing w:before="0" w:after="0"/>
              <w:jc w:val="right"/>
              <w:rPr>
                <w:color w:val="000000"/>
              </w:rPr>
            </w:pPr>
            <w:r>
              <w:rPr>
                <w:color w:val="000000"/>
              </w:rPr>
              <w:t>—</w:t>
            </w:r>
          </w:p>
        </w:tc>
        <w:tc>
          <w:tcPr>
            <w:tcW w:w="95" w:type="dxa"/>
            <w:tcBorders/>
            <w:tcMar>
              <w:top w:w="0" w:type="dxa"/>
              <w:left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160" w:type="dxa"/>
            <w:tcBorders/>
            <w:tcMar>
              <w:top w:w="0" w:type="dxa"/>
              <w:left w:w="0" w:type="dxa"/>
            </w:tcMar>
            <w:vAlign w:val="bottom"/>
          </w:tcPr>
          <w:p>
            <w:pPr>
              <w:pStyle w:val="TableContents"/>
              <w:bidi w:val="0"/>
              <w:spacing w:before="0" w:after="283"/>
              <w:jc w:val="left"/>
              <w:rPr/>
            </w:pPr>
            <w:r>
              <w:rPr/>
              <w:t> </w:t>
            </w:r>
          </w:p>
        </w:tc>
        <w:tc>
          <w:tcPr>
            <w:tcW w:w="1210" w:type="dxa"/>
            <w:tcBorders/>
            <w:tcMar>
              <w:top w:w="0" w:type="dxa"/>
              <w:left w:w="0" w:type="dxa"/>
            </w:tcMar>
            <w:vAlign w:val="bottom"/>
          </w:tcPr>
          <w:p>
            <w:pPr>
              <w:pStyle w:val="TableContents"/>
              <w:bidi w:val="0"/>
              <w:spacing w:before="0" w:after="0"/>
              <w:jc w:val="right"/>
              <w:rPr>
                <w:color w:val="000000"/>
              </w:rPr>
            </w:pPr>
            <w:r>
              <w:rPr>
                <w:color w:val="000000"/>
              </w:rPr>
              <w:t>—</w:t>
            </w:r>
          </w:p>
        </w:tc>
        <w:tc>
          <w:tcPr>
            <w:tcW w:w="95" w:type="dxa"/>
            <w:tcBorders/>
            <w:tcMar>
              <w:top w:w="0" w:type="dxa"/>
              <w:left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156" w:type="dxa"/>
            <w:tcBorders/>
            <w:tcMar>
              <w:top w:w="0" w:type="dxa"/>
              <w:left w:w="0" w:type="dxa"/>
            </w:tcMar>
            <w:vAlign w:val="bottom"/>
          </w:tcPr>
          <w:p>
            <w:pPr>
              <w:pStyle w:val="TableContents"/>
              <w:bidi w:val="0"/>
              <w:spacing w:before="0" w:after="283"/>
              <w:jc w:val="left"/>
              <w:rPr/>
            </w:pPr>
            <w:r>
              <w:rPr/>
              <w:t> </w:t>
            </w:r>
          </w:p>
        </w:tc>
        <w:tc>
          <w:tcPr>
            <w:tcW w:w="1184" w:type="dxa"/>
            <w:tcBorders/>
            <w:tcMar>
              <w:top w:w="0" w:type="dxa"/>
              <w:left w:w="0" w:type="dxa"/>
            </w:tcMar>
            <w:vAlign w:val="bottom"/>
          </w:tcPr>
          <w:p>
            <w:pPr>
              <w:pStyle w:val="TableContents"/>
              <w:bidi w:val="0"/>
              <w:spacing w:before="0" w:after="0"/>
              <w:jc w:val="right"/>
              <w:rPr>
                <w:color w:val="000000"/>
              </w:rPr>
            </w:pPr>
            <w:r>
              <w:rPr>
                <w:color w:val="000000"/>
              </w:rPr>
              <w:t>82</w:t>
            </w:r>
          </w:p>
        </w:tc>
        <w:tc>
          <w:tcPr>
            <w:tcW w:w="95" w:type="dxa"/>
            <w:tcBorders>
              <w:right w:val="single" w:sz="12" w:space="0" w:color="000000"/>
            </w:tcBorders>
            <w:tcMar>
              <w:top w:w="0" w:type="dxa"/>
              <w:left w:w="0" w:type="dxa"/>
              <w:right w:w="28" w:type="dxa"/>
            </w:tcMar>
            <w:vAlign w:val="bottom"/>
          </w:tcPr>
          <w:p>
            <w:pPr>
              <w:pStyle w:val="TableContents"/>
              <w:bidi w:val="0"/>
              <w:spacing w:before="0" w:after="283"/>
              <w:jc w:val="left"/>
              <w:rPr/>
            </w:pPr>
            <w:r>
              <w:rPr/>
              <w:t> </w:t>
            </w:r>
          </w:p>
        </w:tc>
      </w:tr>
      <w:tr>
        <w:trPr/>
        <w:tc>
          <w:tcPr>
            <w:tcW w:w="4655" w:type="dxa"/>
            <w:tcBorders>
              <w:left w:val="single" w:sz="12" w:space="0" w:color="000000"/>
            </w:tcBorders>
            <w:shd w:fill="CCEEFF" w:val="clear"/>
            <w:tcMar>
              <w:top w:w="0" w:type="dxa"/>
            </w:tcMar>
            <w:vAlign w:val="bottom"/>
          </w:tcPr>
          <w:p>
            <w:pPr>
              <w:pStyle w:val="TableContents"/>
              <w:bidi w:val="0"/>
              <w:spacing w:before="0" w:after="0"/>
              <w:ind w:left="144" w:right="0" w:hanging="144"/>
              <w:jc w:val="left"/>
              <w:rPr>
                <w:color w:val="000000"/>
              </w:rPr>
            </w:pPr>
            <w:r>
              <w:rPr>
                <w:color w:val="000000"/>
              </w:rPr>
              <w:t>Stock-based compensation expense</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1220" w:type="dxa"/>
            <w:tcBorders/>
            <w:shd w:fill="CCEEFF" w:val="clear"/>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140" w:type="dxa"/>
            <w:tcBorders/>
            <w:shd w:fill="CCEEFF" w:val="clear"/>
            <w:tcMar>
              <w:top w:w="0" w:type="dxa"/>
              <w:left w:w="0" w:type="dxa"/>
            </w:tcMar>
            <w:vAlign w:val="bottom"/>
          </w:tcPr>
          <w:p>
            <w:pPr>
              <w:pStyle w:val="TableContents"/>
              <w:bidi w:val="0"/>
              <w:spacing w:before="0" w:after="283"/>
              <w:jc w:val="left"/>
              <w:rPr/>
            </w:pPr>
            <w:r>
              <w:rPr/>
              <w:t> </w:t>
            </w:r>
          </w:p>
        </w:tc>
        <w:tc>
          <w:tcPr>
            <w:tcW w:w="980" w:type="dxa"/>
            <w:tcBorders/>
            <w:shd w:fill="CCEEFF" w:val="clear"/>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left w:val="single" w:sz="12" w:space="0" w:color="000000"/>
            </w:tcBorders>
            <w:shd w:fill="CCEEFF" w:val="clear"/>
            <w:tcMar>
              <w:top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1100" w:type="dxa"/>
            <w:tcBorders/>
            <w:shd w:fill="CCEEFF" w:val="clear"/>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301" w:type="dxa"/>
            <w:tcBorders/>
            <w:shd w:fill="CCEEFF" w:val="clear"/>
            <w:tcMar>
              <w:top w:w="0" w:type="dxa"/>
              <w:left w:w="0" w:type="dxa"/>
            </w:tcMar>
            <w:vAlign w:val="bottom"/>
          </w:tcPr>
          <w:p>
            <w:pPr>
              <w:pStyle w:val="TableContents"/>
              <w:bidi w:val="0"/>
              <w:spacing w:before="0" w:after="283"/>
              <w:jc w:val="left"/>
              <w:rPr/>
            </w:pPr>
            <w:r>
              <w:rPr/>
              <w:t> </w:t>
            </w:r>
          </w:p>
        </w:tc>
        <w:tc>
          <w:tcPr>
            <w:tcW w:w="559" w:type="dxa"/>
            <w:tcBorders/>
            <w:shd w:fill="CCEEFF" w:val="clear"/>
            <w:tcMar>
              <w:top w:w="0" w:type="dxa"/>
              <w:left w:w="0" w:type="dxa"/>
            </w:tcMar>
            <w:vAlign w:val="bottom"/>
          </w:tcPr>
          <w:p>
            <w:pPr>
              <w:pStyle w:val="TableContents"/>
              <w:bidi w:val="0"/>
              <w:spacing w:before="0" w:after="0"/>
              <w:jc w:val="right"/>
              <w:rPr>
                <w:color w:val="000000"/>
              </w:rPr>
            </w:pPr>
            <w:r>
              <w:rPr>
                <w:color w:val="000000"/>
              </w:rPr>
              <w:t>—</w:t>
            </w:r>
          </w:p>
        </w:tc>
        <w:tc>
          <w:tcPr>
            <w:tcW w:w="95"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187" w:type="dxa"/>
            <w:tcBorders/>
            <w:shd w:fill="CCEEFF" w:val="clear"/>
            <w:tcMar>
              <w:top w:w="0" w:type="dxa"/>
              <w:left w:w="0" w:type="dxa"/>
            </w:tcMar>
            <w:vAlign w:val="bottom"/>
          </w:tcPr>
          <w:p>
            <w:pPr>
              <w:pStyle w:val="TableContents"/>
              <w:bidi w:val="0"/>
              <w:spacing w:before="0" w:after="283"/>
              <w:jc w:val="left"/>
              <w:rPr/>
            </w:pPr>
            <w:r>
              <w:rPr/>
              <w:t> </w:t>
            </w:r>
          </w:p>
        </w:tc>
        <w:tc>
          <w:tcPr>
            <w:tcW w:w="913" w:type="dxa"/>
            <w:tcBorders/>
            <w:shd w:fill="CCEEFF" w:val="clear"/>
            <w:tcMar>
              <w:top w:w="0" w:type="dxa"/>
              <w:left w:w="0" w:type="dxa"/>
            </w:tcMar>
            <w:vAlign w:val="bottom"/>
          </w:tcPr>
          <w:p>
            <w:pPr>
              <w:pStyle w:val="TableContents"/>
              <w:bidi w:val="0"/>
              <w:spacing w:before="0" w:after="0"/>
              <w:jc w:val="right"/>
              <w:rPr>
                <w:color w:val="000000"/>
              </w:rPr>
            </w:pPr>
            <w:r>
              <w:rPr>
                <w:color w:val="000000"/>
              </w:rPr>
              <w:t>2,738</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563" w:type="dxa"/>
            <w:tcBorders/>
            <w:shd w:fill="CCEEFF" w:val="clear"/>
            <w:tcMar>
              <w:top w:w="0" w:type="dxa"/>
              <w:left w:w="0" w:type="dxa"/>
            </w:tcMar>
            <w:vAlign w:val="bottom"/>
          </w:tcPr>
          <w:p>
            <w:pPr>
              <w:pStyle w:val="TableContents"/>
              <w:bidi w:val="0"/>
              <w:spacing w:before="0" w:after="283"/>
              <w:jc w:val="left"/>
              <w:rPr/>
            </w:pPr>
            <w:r>
              <w:rPr/>
              <w:t> </w:t>
            </w:r>
          </w:p>
        </w:tc>
        <w:tc>
          <w:tcPr>
            <w:tcW w:w="1047" w:type="dxa"/>
            <w:tcBorders/>
            <w:shd w:fill="CCEEFF" w:val="clear"/>
            <w:tcMar>
              <w:top w:w="0" w:type="dxa"/>
              <w:left w:w="0" w:type="dxa"/>
            </w:tcMar>
            <w:vAlign w:val="bottom"/>
          </w:tcPr>
          <w:p>
            <w:pPr>
              <w:pStyle w:val="TableContents"/>
              <w:bidi w:val="0"/>
              <w:spacing w:before="0" w:after="0"/>
              <w:jc w:val="right"/>
              <w:rPr>
                <w:color w:val="000000"/>
              </w:rPr>
            </w:pPr>
            <w:r>
              <w:rPr>
                <w:color w:val="000000"/>
              </w:rPr>
              <w:t>—</w:t>
            </w:r>
          </w:p>
        </w:tc>
        <w:tc>
          <w:tcPr>
            <w:tcW w:w="95"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160" w:type="dxa"/>
            <w:tcBorders/>
            <w:shd w:fill="CCEEFF" w:val="clear"/>
            <w:tcMar>
              <w:top w:w="0" w:type="dxa"/>
              <w:left w:w="0" w:type="dxa"/>
            </w:tcMar>
            <w:vAlign w:val="bottom"/>
          </w:tcPr>
          <w:p>
            <w:pPr>
              <w:pStyle w:val="TableContents"/>
              <w:bidi w:val="0"/>
              <w:spacing w:before="0" w:after="283"/>
              <w:jc w:val="left"/>
              <w:rPr/>
            </w:pPr>
            <w:r>
              <w:rPr/>
              <w:t> </w:t>
            </w:r>
          </w:p>
        </w:tc>
        <w:tc>
          <w:tcPr>
            <w:tcW w:w="1210" w:type="dxa"/>
            <w:tcBorders/>
            <w:shd w:fill="CCEEFF" w:val="clear"/>
            <w:tcMar>
              <w:top w:w="0" w:type="dxa"/>
              <w:left w:w="0" w:type="dxa"/>
            </w:tcMar>
            <w:vAlign w:val="bottom"/>
          </w:tcPr>
          <w:p>
            <w:pPr>
              <w:pStyle w:val="TableContents"/>
              <w:bidi w:val="0"/>
              <w:spacing w:before="0" w:after="0"/>
              <w:jc w:val="right"/>
              <w:rPr>
                <w:color w:val="000000"/>
              </w:rPr>
            </w:pPr>
            <w:r>
              <w:rPr>
                <w:color w:val="000000"/>
              </w:rPr>
              <w:t>—</w:t>
            </w:r>
          </w:p>
        </w:tc>
        <w:tc>
          <w:tcPr>
            <w:tcW w:w="95"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156" w:type="dxa"/>
            <w:tcBorders/>
            <w:shd w:fill="CCEEFF" w:val="clear"/>
            <w:tcMar>
              <w:top w:w="0" w:type="dxa"/>
              <w:left w:w="0" w:type="dxa"/>
            </w:tcMar>
            <w:vAlign w:val="bottom"/>
          </w:tcPr>
          <w:p>
            <w:pPr>
              <w:pStyle w:val="TableContents"/>
              <w:bidi w:val="0"/>
              <w:spacing w:before="0" w:after="283"/>
              <w:jc w:val="left"/>
              <w:rPr/>
            </w:pPr>
            <w:r>
              <w:rPr/>
              <w:t> </w:t>
            </w:r>
          </w:p>
        </w:tc>
        <w:tc>
          <w:tcPr>
            <w:tcW w:w="1184" w:type="dxa"/>
            <w:tcBorders/>
            <w:shd w:fill="CCEEFF" w:val="clear"/>
            <w:tcMar>
              <w:top w:w="0" w:type="dxa"/>
              <w:left w:w="0" w:type="dxa"/>
            </w:tcMar>
            <w:vAlign w:val="bottom"/>
          </w:tcPr>
          <w:p>
            <w:pPr>
              <w:pStyle w:val="TableContents"/>
              <w:bidi w:val="0"/>
              <w:spacing w:before="0" w:after="0"/>
              <w:jc w:val="right"/>
              <w:rPr>
                <w:color w:val="000000"/>
              </w:rPr>
            </w:pPr>
            <w:r>
              <w:rPr>
                <w:color w:val="000000"/>
              </w:rPr>
              <w:t>2,738</w:t>
            </w:r>
          </w:p>
        </w:tc>
        <w:tc>
          <w:tcPr>
            <w:tcW w:w="95" w:type="dxa"/>
            <w:tcBorders>
              <w:right w:val="single" w:sz="12" w:space="0" w:color="000000"/>
            </w:tcBorders>
            <w:shd w:fill="CCEEFF" w:val="clear"/>
            <w:tcMar>
              <w:top w:w="0" w:type="dxa"/>
              <w:left w:w="0" w:type="dxa"/>
              <w:right w:w="28" w:type="dxa"/>
            </w:tcMar>
            <w:vAlign w:val="bottom"/>
          </w:tcPr>
          <w:p>
            <w:pPr>
              <w:pStyle w:val="TableContents"/>
              <w:bidi w:val="0"/>
              <w:spacing w:before="0" w:after="283"/>
              <w:jc w:val="left"/>
              <w:rPr/>
            </w:pPr>
            <w:r>
              <w:rPr/>
              <w:t> </w:t>
            </w:r>
          </w:p>
        </w:tc>
      </w:tr>
      <w:tr>
        <w:trPr/>
        <w:tc>
          <w:tcPr>
            <w:tcW w:w="4655" w:type="dxa"/>
            <w:tcBorders>
              <w:left w:val="single" w:sz="12" w:space="0" w:color="000000"/>
            </w:tcBorders>
            <w:tcMar>
              <w:top w:w="0" w:type="dxa"/>
            </w:tcMar>
            <w:vAlign w:val="bottom"/>
          </w:tcPr>
          <w:p>
            <w:pPr>
              <w:pStyle w:val="TableContents"/>
              <w:bidi w:val="0"/>
              <w:spacing w:before="0" w:after="0"/>
              <w:ind w:left="144" w:right="0" w:hanging="144"/>
              <w:jc w:val="left"/>
              <w:rPr>
                <w:color w:val="000000"/>
              </w:rPr>
            </w:pPr>
            <w:r>
              <w:rPr>
                <w:color w:val="000000"/>
              </w:rPr>
              <w:t>Unrealized loss on available for-sale securities</w:t>
            </w:r>
          </w:p>
        </w:tc>
        <w:tc>
          <w:tcPr>
            <w:tcW w:w="60" w:type="dxa"/>
            <w:tcBorders/>
            <w:tcMar>
              <w:top w:w="0" w:type="dxa"/>
              <w:left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1220" w:type="dxa"/>
            <w:tcBorders/>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tcMar>
              <w:top w:w="0" w:type="dxa"/>
              <w:left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140" w:type="dxa"/>
            <w:tcBorders/>
            <w:tcMar>
              <w:top w:w="0" w:type="dxa"/>
              <w:left w:w="0" w:type="dxa"/>
            </w:tcMar>
            <w:vAlign w:val="bottom"/>
          </w:tcPr>
          <w:p>
            <w:pPr>
              <w:pStyle w:val="TableContents"/>
              <w:bidi w:val="0"/>
              <w:spacing w:before="0" w:after="283"/>
              <w:jc w:val="left"/>
              <w:rPr/>
            </w:pPr>
            <w:r>
              <w:rPr/>
              <w:t> </w:t>
            </w:r>
          </w:p>
        </w:tc>
        <w:tc>
          <w:tcPr>
            <w:tcW w:w="980" w:type="dxa"/>
            <w:tcBorders/>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tcMar>
              <w:top w:w="0" w:type="dxa"/>
              <w:left w:w="0" w:type="dxa"/>
            </w:tcMar>
            <w:vAlign w:val="bottom"/>
          </w:tcPr>
          <w:p>
            <w:pPr>
              <w:pStyle w:val="TableContents"/>
              <w:bidi w:val="0"/>
              <w:spacing w:before="0" w:after="283"/>
              <w:jc w:val="left"/>
              <w:rPr/>
            </w:pPr>
            <w:r>
              <w:rPr/>
              <w:t> </w:t>
            </w:r>
          </w:p>
        </w:tc>
        <w:tc>
          <w:tcPr>
            <w:tcW w:w="60" w:type="dxa"/>
            <w:tcBorders>
              <w:left w:val="single" w:sz="12" w:space="0" w:color="000000"/>
            </w:tcBorders>
            <w:tcMar>
              <w:top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1100" w:type="dxa"/>
            <w:tcBorders/>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tcMar>
              <w:top w:w="0" w:type="dxa"/>
              <w:left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301" w:type="dxa"/>
            <w:tcBorders/>
            <w:tcMar>
              <w:top w:w="0" w:type="dxa"/>
              <w:left w:w="0" w:type="dxa"/>
            </w:tcMar>
            <w:vAlign w:val="bottom"/>
          </w:tcPr>
          <w:p>
            <w:pPr>
              <w:pStyle w:val="TableContents"/>
              <w:bidi w:val="0"/>
              <w:spacing w:before="0" w:after="283"/>
              <w:jc w:val="left"/>
              <w:rPr/>
            </w:pPr>
            <w:r>
              <w:rPr/>
              <w:t> </w:t>
            </w:r>
          </w:p>
        </w:tc>
        <w:tc>
          <w:tcPr>
            <w:tcW w:w="559" w:type="dxa"/>
            <w:tcBorders/>
            <w:tcMar>
              <w:top w:w="0" w:type="dxa"/>
              <w:left w:w="0" w:type="dxa"/>
            </w:tcMar>
            <w:vAlign w:val="bottom"/>
          </w:tcPr>
          <w:p>
            <w:pPr>
              <w:pStyle w:val="TableContents"/>
              <w:bidi w:val="0"/>
              <w:spacing w:before="0" w:after="0"/>
              <w:jc w:val="right"/>
              <w:rPr>
                <w:color w:val="000000"/>
              </w:rPr>
            </w:pPr>
            <w:r>
              <w:rPr>
                <w:color w:val="000000"/>
              </w:rPr>
              <w:t>—</w:t>
            </w:r>
          </w:p>
        </w:tc>
        <w:tc>
          <w:tcPr>
            <w:tcW w:w="95" w:type="dxa"/>
            <w:tcBorders/>
            <w:tcMar>
              <w:top w:w="0" w:type="dxa"/>
              <w:left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187" w:type="dxa"/>
            <w:tcBorders/>
            <w:tcMar>
              <w:top w:w="0" w:type="dxa"/>
              <w:left w:w="0" w:type="dxa"/>
            </w:tcMar>
            <w:vAlign w:val="bottom"/>
          </w:tcPr>
          <w:p>
            <w:pPr>
              <w:pStyle w:val="TableContents"/>
              <w:bidi w:val="0"/>
              <w:spacing w:before="0" w:after="283"/>
              <w:jc w:val="left"/>
              <w:rPr/>
            </w:pPr>
            <w:r>
              <w:rPr/>
              <w:t> </w:t>
            </w:r>
          </w:p>
        </w:tc>
        <w:tc>
          <w:tcPr>
            <w:tcW w:w="913" w:type="dxa"/>
            <w:tcBorders/>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tcMar>
              <w:top w:w="0" w:type="dxa"/>
              <w:left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563" w:type="dxa"/>
            <w:tcBorders/>
            <w:tcMar>
              <w:top w:w="0" w:type="dxa"/>
              <w:left w:w="0" w:type="dxa"/>
            </w:tcMar>
            <w:vAlign w:val="bottom"/>
          </w:tcPr>
          <w:p>
            <w:pPr>
              <w:pStyle w:val="TableContents"/>
              <w:bidi w:val="0"/>
              <w:spacing w:before="0" w:after="283"/>
              <w:jc w:val="left"/>
              <w:rPr/>
            </w:pPr>
            <w:r>
              <w:rPr/>
              <w:t> </w:t>
            </w:r>
          </w:p>
        </w:tc>
        <w:tc>
          <w:tcPr>
            <w:tcW w:w="1047" w:type="dxa"/>
            <w:tcBorders/>
            <w:tcMar>
              <w:top w:w="0" w:type="dxa"/>
              <w:left w:w="0" w:type="dxa"/>
            </w:tcMar>
            <w:vAlign w:val="bottom"/>
          </w:tcPr>
          <w:p>
            <w:pPr>
              <w:pStyle w:val="TableContents"/>
              <w:bidi w:val="0"/>
              <w:spacing w:before="0" w:after="0"/>
              <w:jc w:val="right"/>
              <w:rPr>
                <w:color w:val="000000"/>
              </w:rPr>
            </w:pPr>
            <w:r>
              <w:rPr>
                <w:color w:val="000000"/>
              </w:rPr>
              <w:t>(5</w:t>
            </w:r>
          </w:p>
        </w:tc>
        <w:tc>
          <w:tcPr>
            <w:tcW w:w="95" w:type="dxa"/>
            <w:tcBorders/>
            <w:tcMar>
              <w:top w:w="0" w:type="dxa"/>
              <w:left w:w="0" w:type="dxa"/>
            </w:tcMar>
            <w:vAlign w:val="bottom"/>
          </w:tcPr>
          <w:p>
            <w:pPr>
              <w:pStyle w:val="TableContents"/>
              <w:bidi w:val="0"/>
              <w:spacing w:before="0" w:after="0"/>
              <w:jc w:val="left"/>
              <w:rPr>
                <w:color w:val="000000"/>
              </w:rPr>
            </w:pPr>
            <w:r>
              <w:rPr>
                <w:color w:val="000000"/>
              </w:rPr>
              <w:t>)</w:t>
            </w:r>
          </w:p>
        </w:tc>
        <w:tc>
          <w:tcPr>
            <w:tcW w:w="60" w:type="dxa"/>
            <w:tcBorders/>
            <w:tcMar>
              <w:top w:w="0" w:type="dxa"/>
              <w:left w:w="0" w:type="dxa"/>
            </w:tcMar>
            <w:vAlign w:val="bottom"/>
          </w:tcPr>
          <w:p>
            <w:pPr>
              <w:pStyle w:val="TableContents"/>
              <w:bidi w:val="0"/>
              <w:spacing w:before="0" w:after="283"/>
              <w:jc w:val="left"/>
              <w:rPr/>
            </w:pPr>
            <w:r>
              <w:rPr/>
              <w:t> </w:t>
            </w:r>
          </w:p>
        </w:tc>
        <w:tc>
          <w:tcPr>
            <w:tcW w:w="160" w:type="dxa"/>
            <w:tcBorders/>
            <w:tcMar>
              <w:top w:w="0" w:type="dxa"/>
              <w:left w:w="0" w:type="dxa"/>
            </w:tcMar>
            <w:vAlign w:val="bottom"/>
          </w:tcPr>
          <w:p>
            <w:pPr>
              <w:pStyle w:val="TableContents"/>
              <w:bidi w:val="0"/>
              <w:spacing w:before="0" w:after="283"/>
              <w:jc w:val="left"/>
              <w:rPr/>
            </w:pPr>
            <w:r>
              <w:rPr/>
              <w:t> </w:t>
            </w:r>
          </w:p>
        </w:tc>
        <w:tc>
          <w:tcPr>
            <w:tcW w:w="1210" w:type="dxa"/>
            <w:tcBorders/>
            <w:tcMar>
              <w:top w:w="0" w:type="dxa"/>
              <w:left w:w="0" w:type="dxa"/>
            </w:tcMar>
            <w:vAlign w:val="bottom"/>
          </w:tcPr>
          <w:p>
            <w:pPr>
              <w:pStyle w:val="TableContents"/>
              <w:bidi w:val="0"/>
              <w:spacing w:before="0" w:after="0"/>
              <w:jc w:val="right"/>
              <w:rPr>
                <w:color w:val="000000"/>
              </w:rPr>
            </w:pPr>
            <w:r>
              <w:rPr>
                <w:color w:val="000000"/>
              </w:rPr>
              <w:t>—</w:t>
            </w:r>
          </w:p>
        </w:tc>
        <w:tc>
          <w:tcPr>
            <w:tcW w:w="95" w:type="dxa"/>
            <w:tcBorders/>
            <w:tcMar>
              <w:top w:w="0" w:type="dxa"/>
              <w:left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156" w:type="dxa"/>
            <w:tcBorders/>
            <w:tcMar>
              <w:top w:w="0" w:type="dxa"/>
              <w:left w:w="0" w:type="dxa"/>
            </w:tcMar>
            <w:vAlign w:val="bottom"/>
          </w:tcPr>
          <w:p>
            <w:pPr>
              <w:pStyle w:val="TableContents"/>
              <w:bidi w:val="0"/>
              <w:spacing w:before="0" w:after="283"/>
              <w:jc w:val="left"/>
              <w:rPr/>
            </w:pPr>
            <w:r>
              <w:rPr/>
              <w:t> </w:t>
            </w:r>
          </w:p>
        </w:tc>
        <w:tc>
          <w:tcPr>
            <w:tcW w:w="1184" w:type="dxa"/>
            <w:tcBorders/>
            <w:tcMar>
              <w:top w:w="0" w:type="dxa"/>
              <w:left w:w="0" w:type="dxa"/>
            </w:tcMar>
            <w:vAlign w:val="bottom"/>
          </w:tcPr>
          <w:p>
            <w:pPr>
              <w:pStyle w:val="TableContents"/>
              <w:bidi w:val="0"/>
              <w:spacing w:before="0" w:after="0"/>
              <w:jc w:val="right"/>
              <w:rPr>
                <w:color w:val="000000"/>
              </w:rPr>
            </w:pPr>
            <w:r>
              <w:rPr>
                <w:color w:val="000000"/>
              </w:rPr>
              <w:t>(5</w:t>
            </w:r>
          </w:p>
        </w:tc>
        <w:tc>
          <w:tcPr>
            <w:tcW w:w="95" w:type="dxa"/>
            <w:tcBorders>
              <w:right w:val="single" w:sz="12" w:space="0" w:color="000000"/>
            </w:tcBorders>
            <w:tcMar>
              <w:top w:w="0" w:type="dxa"/>
              <w:left w:w="0" w:type="dxa"/>
              <w:right w:w="28" w:type="dxa"/>
            </w:tcMar>
            <w:vAlign w:val="bottom"/>
          </w:tcPr>
          <w:p>
            <w:pPr>
              <w:pStyle w:val="TableContents"/>
              <w:bidi w:val="0"/>
              <w:spacing w:before="0" w:after="0"/>
              <w:jc w:val="left"/>
              <w:rPr>
                <w:color w:val="000000"/>
              </w:rPr>
            </w:pPr>
            <w:r>
              <w:rPr>
                <w:color w:val="000000"/>
              </w:rPr>
              <w:t>)</w:t>
            </w:r>
          </w:p>
        </w:tc>
      </w:tr>
      <w:tr>
        <w:trPr/>
        <w:tc>
          <w:tcPr>
            <w:tcW w:w="4655" w:type="dxa"/>
            <w:tcBorders>
              <w:left w:val="single" w:sz="12" w:space="0" w:color="000000"/>
            </w:tcBorders>
            <w:shd w:fill="CCEEFF" w:val="clear"/>
            <w:tcMar>
              <w:top w:w="0" w:type="dxa"/>
            </w:tcMar>
            <w:vAlign w:val="bottom"/>
          </w:tcPr>
          <w:p>
            <w:pPr>
              <w:pStyle w:val="TableContents"/>
              <w:bidi w:val="0"/>
              <w:spacing w:before="0" w:after="0"/>
              <w:ind w:left="144" w:right="0" w:hanging="144"/>
              <w:jc w:val="left"/>
              <w:rPr>
                <w:color w:val="000000"/>
              </w:rPr>
            </w:pPr>
            <w:r>
              <w:rPr>
                <w:color w:val="000000"/>
              </w:rPr>
              <w:t>Foreign currency translation adjustment</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1220" w:type="dxa"/>
            <w:tcBorders/>
            <w:shd w:fill="CCEEFF" w:val="clear"/>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140" w:type="dxa"/>
            <w:tcBorders/>
            <w:shd w:fill="CCEEFF" w:val="clear"/>
            <w:tcMar>
              <w:top w:w="0" w:type="dxa"/>
              <w:left w:w="0" w:type="dxa"/>
            </w:tcMar>
            <w:vAlign w:val="bottom"/>
          </w:tcPr>
          <w:p>
            <w:pPr>
              <w:pStyle w:val="TableContents"/>
              <w:bidi w:val="0"/>
              <w:spacing w:before="0" w:after="283"/>
              <w:jc w:val="left"/>
              <w:rPr/>
            </w:pPr>
            <w:r>
              <w:rPr/>
              <w:t> </w:t>
            </w:r>
          </w:p>
        </w:tc>
        <w:tc>
          <w:tcPr>
            <w:tcW w:w="980" w:type="dxa"/>
            <w:tcBorders/>
            <w:shd w:fill="CCEEFF" w:val="clear"/>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left w:val="single" w:sz="12" w:space="0" w:color="000000"/>
            </w:tcBorders>
            <w:shd w:fill="CCEEFF" w:val="clear"/>
            <w:tcMar>
              <w:top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1100" w:type="dxa"/>
            <w:tcBorders/>
            <w:shd w:fill="CCEEFF" w:val="clear"/>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301" w:type="dxa"/>
            <w:tcBorders/>
            <w:shd w:fill="CCEEFF" w:val="clear"/>
            <w:tcMar>
              <w:top w:w="0" w:type="dxa"/>
              <w:left w:w="0" w:type="dxa"/>
            </w:tcMar>
            <w:vAlign w:val="bottom"/>
          </w:tcPr>
          <w:p>
            <w:pPr>
              <w:pStyle w:val="TableContents"/>
              <w:bidi w:val="0"/>
              <w:spacing w:before="0" w:after="283"/>
              <w:jc w:val="left"/>
              <w:rPr/>
            </w:pPr>
            <w:r>
              <w:rPr/>
              <w:t> </w:t>
            </w:r>
          </w:p>
        </w:tc>
        <w:tc>
          <w:tcPr>
            <w:tcW w:w="559" w:type="dxa"/>
            <w:tcBorders/>
            <w:shd w:fill="CCEEFF" w:val="clear"/>
            <w:tcMar>
              <w:top w:w="0" w:type="dxa"/>
              <w:left w:w="0" w:type="dxa"/>
            </w:tcMar>
            <w:vAlign w:val="bottom"/>
          </w:tcPr>
          <w:p>
            <w:pPr>
              <w:pStyle w:val="TableContents"/>
              <w:bidi w:val="0"/>
              <w:spacing w:before="0" w:after="0"/>
              <w:jc w:val="right"/>
              <w:rPr>
                <w:color w:val="000000"/>
              </w:rPr>
            </w:pPr>
            <w:r>
              <w:rPr>
                <w:color w:val="000000"/>
              </w:rPr>
              <w:t>—</w:t>
            </w:r>
          </w:p>
        </w:tc>
        <w:tc>
          <w:tcPr>
            <w:tcW w:w="95"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187" w:type="dxa"/>
            <w:tcBorders/>
            <w:shd w:fill="CCEEFF" w:val="clear"/>
            <w:tcMar>
              <w:top w:w="0" w:type="dxa"/>
              <w:left w:w="0" w:type="dxa"/>
            </w:tcMar>
            <w:vAlign w:val="bottom"/>
          </w:tcPr>
          <w:p>
            <w:pPr>
              <w:pStyle w:val="TableContents"/>
              <w:bidi w:val="0"/>
              <w:spacing w:before="0" w:after="283"/>
              <w:jc w:val="left"/>
              <w:rPr/>
            </w:pPr>
            <w:r>
              <w:rPr/>
              <w:t> </w:t>
            </w:r>
          </w:p>
        </w:tc>
        <w:tc>
          <w:tcPr>
            <w:tcW w:w="913" w:type="dxa"/>
            <w:tcBorders/>
            <w:shd w:fill="CCEEFF" w:val="clear"/>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563" w:type="dxa"/>
            <w:tcBorders/>
            <w:shd w:fill="CCEEFF" w:val="clear"/>
            <w:tcMar>
              <w:top w:w="0" w:type="dxa"/>
              <w:left w:w="0" w:type="dxa"/>
            </w:tcMar>
            <w:vAlign w:val="bottom"/>
          </w:tcPr>
          <w:p>
            <w:pPr>
              <w:pStyle w:val="TableContents"/>
              <w:bidi w:val="0"/>
              <w:spacing w:before="0" w:after="283"/>
              <w:jc w:val="left"/>
              <w:rPr/>
            </w:pPr>
            <w:r>
              <w:rPr/>
              <w:t> </w:t>
            </w:r>
          </w:p>
        </w:tc>
        <w:tc>
          <w:tcPr>
            <w:tcW w:w="1047" w:type="dxa"/>
            <w:tcBorders/>
            <w:shd w:fill="CCEEFF" w:val="clear"/>
            <w:tcMar>
              <w:top w:w="0" w:type="dxa"/>
              <w:left w:w="0" w:type="dxa"/>
            </w:tcMar>
            <w:vAlign w:val="bottom"/>
          </w:tcPr>
          <w:p>
            <w:pPr>
              <w:pStyle w:val="TableContents"/>
              <w:bidi w:val="0"/>
              <w:spacing w:before="0" w:after="0"/>
              <w:jc w:val="right"/>
              <w:rPr>
                <w:color w:val="000000"/>
              </w:rPr>
            </w:pPr>
            <w:r>
              <w:rPr>
                <w:color w:val="000000"/>
              </w:rPr>
              <w:t>49</w:t>
            </w:r>
          </w:p>
        </w:tc>
        <w:tc>
          <w:tcPr>
            <w:tcW w:w="95"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160" w:type="dxa"/>
            <w:tcBorders/>
            <w:shd w:fill="CCEEFF" w:val="clear"/>
            <w:tcMar>
              <w:top w:w="0" w:type="dxa"/>
              <w:left w:w="0" w:type="dxa"/>
            </w:tcMar>
            <w:vAlign w:val="bottom"/>
          </w:tcPr>
          <w:p>
            <w:pPr>
              <w:pStyle w:val="TableContents"/>
              <w:bidi w:val="0"/>
              <w:spacing w:before="0" w:after="283"/>
              <w:jc w:val="left"/>
              <w:rPr/>
            </w:pPr>
            <w:r>
              <w:rPr/>
              <w:t> </w:t>
            </w:r>
          </w:p>
        </w:tc>
        <w:tc>
          <w:tcPr>
            <w:tcW w:w="1210" w:type="dxa"/>
            <w:tcBorders/>
            <w:shd w:fill="CCEEFF" w:val="clear"/>
            <w:tcMar>
              <w:top w:w="0" w:type="dxa"/>
              <w:left w:w="0" w:type="dxa"/>
            </w:tcMar>
            <w:vAlign w:val="bottom"/>
          </w:tcPr>
          <w:p>
            <w:pPr>
              <w:pStyle w:val="TableContents"/>
              <w:bidi w:val="0"/>
              <w:spacing w:before="0" w:after="0"/>
              <w:jc w:val="right"/>
              <w:rPr>
                <w:color w:val="000000"/>
              </w:rPr>
            </w:pPr>
            <w:r>
              <w:rPr>
                <w:color w:val="000000"/>
              </w:rPr>
              <w:t>—</w:t>
            </w:r>
          </w:p>
        </w:tc>
        <w:tc>
          <w:tcPr>
            <w:tcW w:w="95"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156" w:type="dxa"/>
            <w:tcBorders/>
            <w:shd w:fill="CCEEFF" w:val="clear"/>
            <w:tcMar>
              <w:top w:w="0" w:type="dxa"/>
              <w:left w:w="0" w:type="dxa"/>
            </w:tcMar>
            <w:vAlign w:val="bottom"/>
          </w:tcPr>
          <w:p>
            <w:pPr>
              <w:pStyle w:val="TableContents"/>
              <w:bidi w:val="0"/>
              <w:spacing w:before="0" w:after="283"/>
              <w:jc w:val="left"/>
              <w:rPr/>
            </w:pPr>
            <w:r>
              <w:rPr/>
              <w:t> </w:t>
            </w:r>
          </w:p>
        </w:tc>
        <w:tc>
          <w:tcPr>
            <w:tcW w:w="1184" w:type="dxa"/>
            <w:tcBorders/>
            <w:shd w:fill="CCEEFF" w:val="clear"/>
            <w:tcMar>
              <w:top w:w="0" w:type="dxa"/>
              <w:left w:w="0" w:type="dxa"/>
            </w:tcMar>
            <w:vAlign w:val="bottom"/>
          </w:tcPr>
          <w:p>
            <w:pPr>
              <w:pStyle w:val="TableContents"/>
              <w:bidi w:val="0"/>
              <w:spacing w:before="0" w:after="0"/>
              <w:jc w:val="right"/>
              <w:rPr>
                <w:color w:val="000000"/>
              </w:rPr>
            </w:pPr>
            <w:r>
              <w:rPr>
                <w:color w:val="000000"/>
              </w:rPr>
              <w:t>49</w:t>
            </w:r>
          </w:p>
        </w:tc>
        <w:tc>
          <w:tcPr>
            <w:tcW w:w="95" w:type="dxa"/>
            <w:tcBorders>
              <w:right w:val="single" w:sz="12" w:space="0" w:color="000000"/>
            </w:tcBorders>
            <w:shd w:fill="CCEEFF" w:val="clear"/>
            <w:tcMar>
              <w:top w:w="0" w:type="dxa"/>
              <w:left w:w="0" w:type="dxa"/>
              <w:right w:w="28" w:type="dxa"/>
            </w:tcMar>
            <w:vAlign w:val="bottom"/>
          </w:tcPr>
          <w:p>
            <w:pPr>
              <w:pStyle w:val="TableContents"/>
              <w:bidi w:val="0"/>
              <w:spacing w:before="0" w:after="283"/>
              <w:jc w:val="left"/>
              <w:rPr/>
            </w:pPr>
            <w:r>
              <w:rPr/>
              <w:t> </w:t>
            </w:r>
          </w:p>
        </w:tc>
      </w:tr>
      <w:tr>
        <w:trPr/>
        <w:tc>
          <w:tcPr>
            <w:tcW w:w="4655" w:type="dxa"/>
            <w:tcBorders>
              <w:left w:val="single" w:sz="12" w:space="0" w:color="000000"/>
            </w:tcBorders>
            <w:tcMar>
              <w:top w:w="0" w:type="dxa"/>
            </w:tcMar>
            <w:vAlign w:val="bottom"/>
          </w:tcPr>
          <w:p>
            <w:pPr>
              <w:pStyle w:val="TableContents"/>
              <w:bidi w:val="0"/>
              <w:spacing w:before="0" w:after="0"/>
              <w:ind w:left="144" w:right="0" w:hanging="144"/>
              <w:jc w:val="left"/>
              <w:rPr>
                <w:color w:val="000000"/>
              </w:rPr>
            </w:pPr>
            <w:r>
              <w:rPr>
                <w:color w:val="000000"/>
              </w:rPr>
              <w:t>Net loss</w:t>
            </w:r>
          </w:p>
        </w:tc>
        <w:tc>
          <w:tcPr>
            <w:tcW w:w="60" w:type="dxa"/>
            <w:tcBorders/>
            <w:tcMar>
              <w:top w:w="0" w:type="dxa"/>
              <w:left w:w="0" w:type="dxa"/>
            </w:tcMar>
            <w:vAlign w:val="bottom"/>
          </w:tcPr>
          <w:p>
            <w:pPr>
              <w:pStyle w:val="TableContents"/>
              <w:bidi w:val="0"/>
              <w:spacing w:before="0" w:after="283"/>
              <w:jc w:val="left"/>
              <w:rPr/>
            </w:pPr>
            <w:r>
              <w:rPr/>
              <w:t> </w:t>
            </w:r>
          </w:p>
        </w:tc>
        <w:tc>
          <w:tcPr>
            <w:tcW w:w="60" w:type="dxa"/>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1220" w:type="dxa"/>
            <w:tcBorders>
              <w:bottom w:val="single" w:sz="12" w:space="0" w:color="000000"/>
            </w:tcBorders>
            <w:tcMar>
              <w:top w:w="0" w:type="dxa"/>
              <w:left w:w="0" w:type="dxa"/>
              <w:bottom w:w="28" w:type="dxa"/>
            </w:tcMar>
            <w:vAlign w:val="bottom"/>
          </w:tcPr>
          <w:p>
            <w:pPr>
              <w:pStyle w:val="TableContents"/>
              <w:bidi w:val="0"/>
              <w:spacing w:before="0" w:after="0"/>
              <w:jc w:val="right"/>
              <w:rPr>
                <w:color w:val="000000"/>
              </w:rPr>
            </w:pPr>
            <w:r>
              <w:rPr>
                <w:color w:val="000000"/>
              </w:rPr>
              <w:t>—</w:t>
            </w:r>
          </w:p>
        </w:tc>
        <w:tc>
          <w:tcPr>
            <w:tcW w:w="60" w:type="dxa"/>
            <w:tcBorders/>
            <w:tcMar>
              <w:top w:w="0" w:type="dxa"/>
              <w:left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140" w:type="dxa"/>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top w:w="0" w:type="dxa"/>
              <w:left w:w="0" w:type="dxa"/>
              <w:bottom w:w="28" w:type="dxa"/>
            </w:tcMar>
            <w:vAlign w:val="bottom"/>
          </w:tcPr>
          <w:p>
            <w:pPr>
              <w:pStyle w:val="TableContents"/>
              <w:bidi w:val="0"/>
              <w:spacing w:before="0" w:after="0"/>
              <w:jc w:val="right"/>
              <w:rPr>
                <w:color w:val="000000"/>
              </w:rPr>
            </w:pPr>
            <w:r>
              <w:rPr>
                <w:color w:val="000000"/>
              </w:rPr>
              <w:t>—</w:t>
            </w:r>
          </w:p>
        </w:tc>
        <w:tc>
          <w:tcPr>
            <w:tcW w:w="60" w:type="dxa"/>
            <w:tcBorders/>
            <w:tcMar>
              <w:top w:w="0" w:type="dxa"/>
              <w:left w:w="0" w:type="dxa"/>
            </w:tcMar>
            <w:vAlign w:val="bottom"/>
          </w:tcPr>
          <w:p>
            <w:pPr>
              <w:pStyle w:val="TableContents"/>
              <w:bidi w:val="0"/>
              <w:spacing w:before="0" w:after="283"/>
              <w:jc w:val="left"/>
              <w:rPr/>
            </w:pPr>
            <w:r>
              <w:rPr/>
              <w:t> </w:t>
            </w:r>
          </w:p>
        </w:tc>
        <w:tc>
          <w:tcPr>
            <w:tcW w:w="60" w:type="dxa"/>
            <w:tcBorders>
              <w:left w:val="single" w:sz="12" w:space="0" w:color="000000"/>
            </w:tcBorders>
            <w:tcMar>
              <w:top w:w="0" w:type="dxa"/>
            </w:tcMar>
            <w:vAlign w:val="bottom"/>
          </w:tcPr>
          <w:p>
            <w:pPr>
              <w:pStyle w:val="TableContents"/>
              <w:bidi w:val="0"/>
              <w:spacing w:before="0" w:after="283"/>
              <w:jc w:val="left"/>
              <w:rPr/>
            </w:pPr>
            <w:r>
              <w:rPr/>
              <w:t> </w:t>
            </w:r>
          </w:p>
        </w:tc>
        <w:tc>
          <w:tcPr>
            <w:tcW w:w="60" w:type="dxa"/>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top w:w="0" w:type="dxa"/>
              <w:left w:w="0" w:type="dxa"/>
              <w:bottom w:w="28" w:type="dxa"/>
            </w:tcMar>
            <w:vAlign w:val="bottom"/>
          </w:tcPr>
          <w:p>
            <w:pPr>
              <w:pStyle w:val="TableContents"/>
              <w:bidi w:val="0"/>
              <w:spacing w:before="0" w:after="0"/>
              <w:jc w:val="right"/>
              <w:rPr>
                <w:color w:val="000000"/>
              </w:rPr>
            </w:pPr>
            <w:r>
              <w:rPr>
                <w:color w:val="000000"/>
              </w:rPr>
              <w:t>—</w:t>
            </w:r>
          </w:p>
        </w:tc>
        <w:tc>
          <w:tcPr>
            <w:tcW w:w="60" w:type="dxa"/>
            <w:tcBorders/>
            <w:tcMar>
              <w:top w:w="0" w:type="dxa"/>
              <w:left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301" w:type="dxa"/>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559" w:type="dxa"/>
            <w:tcBorders>
              <w:bottom w:val="single" w:sz="12" w:space="0" w:color="000000"/>
            </w:tcBorders>
            <w:tcMar>
              <w:top w:w="0" w:type="dxa"/>
              <w:left w:w="0" w:type="dxa"/>
              <w:bottom w:w="28" w:type="dxa"/>
            </w:tcMar>
            <w:vAlign w:val="bottom"/>
          </w:tcPr>
          <w:p>
            <w:pPr>
              <w:pStyle w:val="TableContents"/>
              <w:bidi w:val="0"/>
              <w:spacing w:before="0" w:after="0"/>
              <w:jc w:val="right"/>
              <w:rPr>
                <w:color w:val="000000"/>
              </w:rPr>
            </w:pPr>
            <w:r>
              <w:rPr>
                <w:color w:val="000000"/>
              </w:rPr>
              <w:t>—</w:t>
            </w:r>
          </w:p>
        </w:tc>
        <w:tc>
          <w:tcPr>
            <w:tcW w:w="95" w:type="dxa"/>
            <w:tcBorders/>
            <w:tcMar>
              <w:top w:w="0" w:type="dxa"/>
              <w:left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187" w:type="dxa"/>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913" w:type="dxa"/>
            <w:tcBorders>
              <w:bottom w:val="single" w:sz="12" w:space="0" w:color="000000"/>
            </w:tcBorders>
            <w:tcMar>
              <w:top w:w="0" w:type="dxa"/>
              <w:left w:w="0" w:type="dxa"/>
              <w:bottom w:w="28" w:type="dxa"/>
            </w:tcMar>
            <w:vAlign w:val="bottom"/>
          </w:tcPr>
          <w:p>
            <w:pPr>
              <w:pStyle w:val="TableContents"/>
              <w:bidi w:val="0"/>
              <w:spacing w:before="0" w:after="0"/>
              <w:jc w:val="right"/>
              <w:rPr>
                <w:color w:val="000000"/>
              </w:rPr>
            </w:pPr>
            <w:r>
              <w:rPr>
                <w:color w:val="000000"/>
              </w:rPr>
              <w:t>—</w:t>
            </w:r>
          </w:p>
        </w:tc>
        <w:tc>
          <w:tcPr>
            <w:tcW w:w="60" w:type="dxa"/>
            <w:tcBorders/>
            <w:tcMar>
              <w:top w:w="0" w:type="dxa"/>
              <w:left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563" w:type="dxa"/>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1047" w:type="dxa"/>
            <w:tcBorders>
              <w:bottom w:val="single" w:sz="12" w:space="0" w:color="000000"/>
            </w:tcBorders>
            <w:tcMar>
              <w:top w:w="0" w:type="dxa"/>
              <w:left w:w="0" w:type="dxa"/>
              <w:bottom w:w="28" w:type="dxa"/>
            </w:tcMar>
            <w:vAlign w:val="bottom"/>
          </w:tcPr>
          <w:p>
            <w:pPr>
              <w:pStyle w:val="TableContents"/>
              <w:bidi w:val="0"/>
              <w:spacing w:before="0" w:after="0"/>
              <w:jc w:val="right"/>
              <w:rPr>
                <w:color w:val="000000"/>
              </w:rPr>
            </w:pPr>
            <w:r>
              <w:rPr>
                <w:color w:val="000000"/>
              </w:rPr>
              <w:t>—</w:t>
            </w:r>
          </w:p>
        </w:tc>
        <w:tc>
          <w:tcPr>
            <w:tcW w:w="95" w:type="dxa"/>
            <w:tcBorders/>
            <w:tcMar>
              <w:top w:w="0" w:type="dxa"/>
              <w:left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160" w:type="dxa"/>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1210" w:type="dxa"/>
            <w:tcBorders>
              <w:bottom w:val="single" w:sz="12" w:space="0" w:color="000000"/>
            </w:tcBorders>
            <w:tcMar>
              <w:top w:w="0" w:type="dxa"/>
              <w:left w:w="0" w:type="dxa"/>
              <w:bottom w:w="28" w:type="dxa"/>
            </w:tcMar>
            <w:vAlign w:val="bottom"/>
          </w:tcPr>
          <w:p>
            <w:pPr>
              <w:pStyle w:val="TableContents"/>
              <w:bidi w:val="0"/>
              <w:spacing w:before="0" w:after="0"/>
              <w:jc w:val="right"/>
              <w:rPr>
                <w:color w:val="000000"/>
              </w:rPr>
            </w:pPr>
            <w:r>
              <w:rPr>
                <w:color w:val="000000"/>
              </w:rPr>
              <w:t>(58,731</w:t>
            </w:r>
          </w:p>
        </w:tc>
        <w:tc>
          <w:tcPr>
            <w:tcW w:w="95" w:type="dxa"/>
            <w:tcBorders/>
            <w:tcMar>
              <w:top w:w="0" w:type="dxa"/>
              <w:left w:w="0" w:type="dxa"/>
            </w:tcMar>
            <w:vAlign w:val="bottom"/>
          </w:tcPr>
          <w:p>
            <w:pPr>
              <w:pStyle w:val="TableContents"/>
              <w:bidi w:val="0"/>
              <w:spacing w:before="0" w:after="0"/>
              <w:jc w:val="left"/>
              <w:rPr>
                <w:color w:val="000000"/>
              </w:rPr>
            </w:pPr>
            <w:r>
              <w:rPr>
                <w:color w:val="000000"/>
              </w:rPr>
              <w:t>)</w:t>
            </w:r>
          </w:p>
        </w:tc>
        <w:tc>
          <w:tcPr>
            <w:tcW w:w="60" w:type="dxa"/>
            <w:tcBorders/>
            <w:tcMar>
              <w:top w:w="0" w:type="dxa"/>
              <w:left w:w="0" w:type="dxa"/>
            </w:tcMar>
            <w:vAlign w:val="bottom"/>
          </w:tcPr>
          <w:p>
            <w:pPr>
              <w:pStyle w:val="TableContents"/>
              <w:bidi w:val="0"/>
              <w:spacing w:before="0" w:after="283"/>
              <w:jc w:val="left"/>
              <w:rPr/>
            </w:pPr>
            <w:r>
              <w:rPr/>
              <w:t> </w:t>
            </w:r>
          </w:p>
        </w:tc>
        <w:tc>
          <w:tcPr>
            <w:tcW w:w="156" w:type="dxa"/>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1184" w:type="dxa"/>
            <w:tcBorders>
              <w:bottom w:val="single" w:sz="12" w:space="0" w:color="000000"/>
            </w:tcBorders>
            <w:tcMar>
              <w:top w:w="0" w:type="dxa"/>
              <w:left w:w="0" w:type="dxa"/>
              <w:bottom w:w="28" w:type="dxa"/>
            </w:tcMar>
            <w:vAlign w:val="bottom"/>
          </w:tcPr>
          <w:p>
            <w:pPr>
              <w:pStyle w:val="TableContents"/>
              <w:bidi w:val="0"/>
              <w:spacing w:before="0" w:after="0"/>
              <w:jc w:val="right"/>
              <w:rPr>
                <w:color w:val="000000"/>
              </w:rPr>
            </w:pPr>
            <w:r>
              <w:rPr>
                <w:color w:val="000000"/>
              </w:rPr>
              <w:t>(58,731</w:t>
            </w:r>
          </w:p>
        </w:tc>
        <w:tc>
          <w:tcPr>
            <w:tcW w:w="95" w:type="dxa"/>
            <w:tcBorders>
              <w:right w:val="single" w:sz="12" w:space="0" w:color="000000"/>
            </w:tcBorders>
            <w:tcMar>
              <w:top w:w="0" w:type="dxa"/>
              <w:left w:w="0" w:type="dxa"/>
              <w:right w:w="28" w:type="dxa"/>
            </w:tcMar>
            <w:vAlign w:val="bottom"/>
          </w:tcPr>
          <w:p>
            <w:pPr>
              <w:pStyle w:val="TableContents"/>
              <w:bidi w:val="0"/>
              <w:spacing w:before="0" w:after="0"/>
              <w:jc w:val="left"/>
              <w:rPr>
                <w:color w:val="000000"/>
              </w:rPr>
            </w:pPr>
            <w:r>
              <w:rPr>
                <w:color w:val="000000"/>
              </w:rPr>
              <w:t>)</w:t>
            </w:r>
          </w:p>
        </w:tc>
      </w:tr>
      <w:tr>
        <w:trPr/>
        <w:tc>
          <w:tcPr>
            <w:tcW w:w="4655" w:type="dxa"/>
            <w:tcBorders>
              <w:left w:val="single" w:sz="12" w:space="0" w:color="000000"/>
              <w:bottom w:val="double" w:sz="8" w:space="0" w:color="000000"/>
            </w:tcBorders>
            <w:shd w:fill="CCEEFF" w:val="clear"/>
            <w:tcMar>
              <w:top w:w="0" w:type="dxa"/>
              <w:bottom w:w="28" w:type="dxa"/>
            </w:tcMar>
            <w:vAlign w:val="bottom"/>
          </w:tcPr>
          <w:p>
            <w:pPr>
              <w:pStyle w:val="TableContents"/>
              <w:bidi w:val="0"/>
              <w:spacing w:before="0" w:after="0"/>
              <w:ind w:left="144" w:right="0" w:hanging="144"/>
              <w:jc w:val="left"/>
              <w:rPr>
                <w:b/>
                <w:color w:val="000000"/>
              </w:rPr>
            </w:pPr>
            <w:r>
              <w:rPr>
                <w:b/>
                <w:color w:val="000000"/>
              </w:rPr>
              <w:t>Balance as of June 30, 2025</w:t>
            </w:r>
          </w:p>
        </w:tc>
        <w:tc>
          <w:tcPr>
            <w:tcW w:w="60" w:type="dxa"/>
            <w:tcBorders>
              <w:bottom w:val="double" w:sz="8" w:space="0" w:color="000000"/>
            </w:tcBorders>
            <w:shd w:fill="CCEEFF" w:val="clear"/>
            <w:tcMar>
              <w:top w:w="0" w:type="dxa"/>
              <w:left w:w="0" w:type="dxa"/>
              <w:bottom w:w="28" w:type="dxa"/>
            </w:tcMar>
            <w:vAlign w:val="bottom"/>
          </w:tcPr>
          <w:p>
            <w:pPr>
              <w:pStyle w:val="TableContents"/>
              <w:bidi w:val="0"/>
              <w:spacing w:before="0" w:after="283"/>
              <w:jc w:val="left"/>
              <w:rPr/>
            </w:pPr>
            <w:r>
              <w:rPr/>
              <w:t> </w:t>
            </w:r>
          </w:p>
        </w:tc>
        <w:tc>
          <w:tcPr>
            <w:tcW w:w="60" w:type="dxa"/>
            <w:tcBorders>
              <w:bottom w:val="double" w:sz="8" w:space="0" w:color="000000"/>
            </w:tcBorders>
            <w:shd w:fill="CCEEFF" w:val="clear"/>
            <w:tcMar>
              <w:top w:w="0" w:type="dxa"/>
              <w:left w:w="0" w:type="dxa"/>
              <w:bottom w:w="28" w:type="dxa"/>
            </w:tcMar>
            <w:vAlign w:val="bottom"/>
          </w:tcPr>
          <w:p>
            <w:pPr>
              <w:pStyle w:val="TableContents"/>
              <w:bidi w:val="0"/>
              <w:spacing w:before="0" w:after="283"/>
              <w:jc w:val="left"/>
              <w:rPr/>
            </w:pPr>
            <w:r>
              <w:rPr/>
              <w:t> </w:t>
            </w:r>
          </w:p>
        </w:tc>
        <w:tc>
          <w:tcPr>
            <w:tcW w:w="1220" w:type="dxa"/>
            <w:tcBorders>
              <w:bottom w:val="double" w:sz="8" w:space="0" w:color="000000"/>
            </w:tcBorders>
            <w:shd w:fill="CCEEFF" w:val="clear"/>
            <w:tcMar>
              <w:top w:w="0" w:type="dxa"/>
              <w:left w:w="0" w:type="dxa"/>
              <w:bottom w:w="28" w:type="dxa"/>
            </w:tcMar>
            <w:vAlign w:val="bottom"/>
          </w:tcPr>
          <w:p>
            <w:pPr>
              <w:pStyle w:val="TableContents"/>
              <w:bidi w:val="0"/>
              <w:spacing w:before="0" w:after="0"/>
              <w:jc w:val="right"/>
              <w:rPr>
                <w:color w:val="000000"/>
              </w:rPr>
            </w:pPr>
            <w:r>
              <w:rPr>
                <w:color w:val="000000"/>
              </w:rPr>
              <w:t>212,541,832</w:t>
            </w:r>
          </w:p>
        </w:tc>
        <w:tc>
          <w:tcPr>
            <w:tcW w:w="60" w:type="dxa"/>
            <w:tcBorders>
              <w:bottom w:val="double" w:sz="8" w:space="0" w:color="000000"/>
            </w:tcBorders>
            <w:shd w:fill="CCEEFF" w:val="clear"/>
            <w:tcMar>
              <w:top w:w="0" w:type="dxa"/>
              <w:left w:w="0" w:type="dxa"/>
              <w:bottom w:w="28" w:type="dxa"/>
            </w:tcMar>
            <w:vAlign w:val="bottom"/>
          </w:tcPr>
          <w:p>
            <w:pPr>
              <w:pStyle w:val="TableContents"/>
              <w:bidi w:val="0"/>
              <w:spacing w:before="0" w:after="283"/>
              <w:jc w:val="left"/>
              <w:rPr/>
            </w:pPr>
            <w:r>
              <w:rPr/>
              <w:t> </w:t>
            </w:r>
          </w:p>
        </w:tc>
        <w:tc>
          <w:tcPr>
            <w:tcW w:w="60" w:type="dxa"/>
            <w:tcBorders>
              <w:bottom w:val="double" w:sz="8" w:space="0" w:color="000000"/>
            </w:tcBorders>
            <w:shd w:fill="CCEEFF" w:val="clear"/>
            <w:tcMar>
              <w:top w:w="0" w:type="dxa"/>
              <w:left w:w="0" w:type="dxa"/>
              <w:bottom w:w="28" w:type="dxa"/>
            </w:tcM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top w:w="0" w:type="dxa"/>
              <w:left w:w="0" w:type="dxa"/>
              <w:bottom w:w="28" w:type="dxa"/>
            </w:tcMar>
            <w:vAlign w:val="bottom"/>
          </w:tcPr>
          <w:p>
            <w:pPr>
              <w:pStyle w:val="TableContents"/>
              <w:bidi w:val="0"/>
              <w:spacing w:before="0" w:after="0"/>
              <w:jc w:val="left"/>
              <w:rPr>
                <w:color w:val="000000"/>
              </w:rPr>
            </w:pPr>
            <w:r>
              <w:rPr>
                <w:color w:val="000000"/>
              </w:rPr>
              <w:t>$</w:t>
            </w:r>
          </w:p>
        </w:tc>
        <w:tc>
          <w:tcPr>
            <w:tcW w:w="980" w:type="dxa"/>
            <w:tcBorders>
              <w:bottom w:val="double" w:sz="8" w:space="0" w:color="000000"/>
            </w:tcBorders>
            <w:shd w:fill="CCEEFF" w:val="clear"/>
            <w:tcMar>
              <w:top w:w="0" w:type="dxa"/>
              <w:left w:w="0" w:type="dxa"/>
              <w:bottom w:w="28" w:type="dxa"/>
            </w:tcMar>
            <w:vAlign w:val="bottom"/>
          </w:tcPr>
          <w:p>
            <w:pPr>
              <w:pStyle w:val="TableContents"/>
              <w:bidi w:val="0"/>
              <w:spacing w:before="0" w:after="0"/>
              <w:jc w:val="right"/>
              <w:rPr>
                <w:color w:val="000000"/>
              </w:rPr>
            </w:pPr>
            <w:r>
              <w:rPr>
                <w:color w:val="000000"/>
              </w:rPr>
              <w:t>1,363,580</w:t>
            </w:r>
          </w:p>
        </w:tc>
        <w:tc>
          <w:tcPr>
            <w:tcW w:w="60" w:type="dxa"/>
            <w:tcBorders>
              <w:bottom w:val="double" w:sz="8" w:space="0" w:color="000000"/>
            </w:tcBorders>
            <w:shd w:fill="CCEEFF" w:val="clear"/>
            <w:tcMar>
              <w:top w:w="0" w:type="dxa"/>
              <w:left w:w="0" w:type="dxa"/>
              <w:bottom w:w="28" w:type="dxa"/>
            </w:tcMar>
            <w:vAlign w:val="bottom"/>
          </w:tcPr>
          <w:p>
            <w:pPr>
              <w:pStyle w:val="TableContents"/>
              <w:bidi w:val="0"/>
              <w:spacing w:before="0" w:after="283"/>
              <w:jc w:val="left"/>
              <w:rPr/>
            </w:pPr>
            <w:r>
              <w:rPr/>
              <w:t> </w:t>
            </w:r>
          </w:p>
        </w:tc>
        <w:tc>
          <w:tcPr>
            <w:tcW w:w="60" w:type="dxa"/>
            <w:tcBorders>
              <w:left w:val="single" w:sz="12" w:space="0" w:color="000000"/>
              <w:bottom w:val="double" w:sz="8" w:space="0" w:color="000000"/>
            </w:tcBorders>
            <w:shd w:fill="CCEEFF" w:val="clear"/>
            <w:tcMar>
              <w:top w:w="0" w:type="dxa"/>
              <w:bottom w:w="28" w:type="dxa"/>
            </w:tcMar>
            <w:vAlign w:val="bottom"/>
          </w:tcPr>
          <w:p>
            <w:pPr>
              <w:pStyle w:val="TableContents"/>
              <w:bidi w:val="0"/>
              <w:spacing w:before="0" w:after="283"/>
              <w:jc w:val="left"/>
              <w:rPr/>
            </w:pPr>
            <w:r>
              <w:rPr/>
              <w:t> </w:t>
            </w:r>
          </w:p>
        </w:tc>
        <w:tc>
          <w:tcPr>
            <w:tcW w:w="60" w:type="dxa"/>
            <w:tcBorders>
              <w:bottom w:val="double" w:sz="8" w:space="0" w:color="000000"/>
            </w:tcBorders>
            <w:shd w:fill="CCEEFF" w:val="clear"/>
            <w:tcMar>
              <w:top w:w="0" w:type="dxa"/>
              <w:left w:w="0" w:type="dxa"/>
              <w:bottom w:w="28" w:type="dxa"/>
            </w:tcMar>
            <w:vAlign w:val="bottom"/>
          </w:tcPr>
          <w:p>
            <w:pPr>
              <w:pStyle w:val="TableContents"/>
              <w:bidi w:val="0"/>
              <w:spacing w:before="0" w:after="283"/>
              <w:jc w:val="left"/>
              <w:rPr/>
            </w:pPr>
            <w:r>
              <w:rPr/>
              <w:t> </w:t>
            </w:r>
          </w:p>
        </w:tc>
        <w:tc>
          <w:tcPr>
            <w:tcW w:w="1100" w:type="dxa"/>
            <w:tcBorders>
              <w:bottom w:val="double" w:sz="8" w:space="0" w:color="000000"/>
            </w:tcBorders>
            <w:shd w:fill="CCEEFF" w:val="clear"/>
            <w:tcMar>
              <w:top w:w="0" w:type="dxa"/>
              <w:left w:w="0" w:type="dxa"/>
              <w:bottom w:w="28" w:type="dxa"/>
            </w:tcMar>
            <w:vAlign w:val="bottom"/>
          </w:tcPr>
          <w:p>
            <w:pPr>
              <w:pStyle w:val="TableContents"/>
              <w:bidi w:val="0"/>
              <w:spacing w:before="0" w:after="0"/>
              <w:jc w:val="right"/>
              <w:rPr>
                <w:color w:val="000000"/>
              </w:rPr>
            </w:pPr>
            <w:r>
              <w:rPr>
                <w:color w:val="000000"/>
              </w:rPr>
              <w:t>26,041,560</w:t>
            </w:r>
          </w:p>
        </w:tc>
        <w:tc>
          <w:tcPr>
            <w:tcW w:w="60" w:type="dxa"/>
            <w:tcBorders>
              <w:bottom w:val="double" w:sz="8" w:space="0" w:color="000000"/>
            </w:tcBorders>
            <w:shd w:fill="CCEEFF" w:val="clear"/>
            <w:tcMar>
              <w:top w:w="0" w:type="dxa"/>
              <w:left w:w="0" w:type="dxa"/>
              <w:bottom w:w="28" w:type="dxa"/>
            </w:tcMar>
            <w:vAlign w:val="bottom"/>
          </w:tcPr>
          <w:p>
            <w:pPr>
              <w:pStyle w:val="TableContents"/>
              <w:bidi w:val="0"/>
              <w:spacing w:before="0" w:after="283"/>
              <w:jc w:val="left"/>
              <w:rPr/>
            </w:pPr>
            <w:r>
              <w:rPr/>
              <w:t> </w:t>
            </w:r>
          </w:p>
        </w:tc>
        <w:tc>
          <w:tcPr>
            <w:tcW w:w="60" w:type="dxa"/>
            <w:tcBorders>
              <w:bottom w:val="double" w:sz="8" w:space="0" w:color="000000"/>
            </w:tcBorders>
            <w:shd w:fill="CCEEFF" w:val="clear"/>
            <w:tcMar>
              <w:top w:w="0" w:type="dxa"/>
              <w:left w:w="0" w:type="dxa"/>
              <w:bottom w:w="28" w:type="dxa"/>
            </w:tcMar>
            <w:vAlign w:val="bottom"/>
          </w:tcPr>
          <w:p>
            <w:pPr>
              <w:pStyle w:val="TableContents"/>
              <w:bidi w:val="0"/>
              <w:spacing w:before="0" w:after="283"/>
              <w:jc w:val="left"/>
              <w:rPr/>
            </w:pPr>
            <w:r>
              <w:rPr/>
              <w:t> </w:t>
            </w:r>
          </w:p>
        </w:tc>
        <w:tc>
          <w:tcPr>
            <w:tcW w:w="301" w:type="dxa"/>
            <w:tcBorders>
              <w:bottom w:val="double" w:sz="8" w:space="0" w:color="000000"/>
            </w:tcBorders>
            <w:shd w:fill="CCEEFF" w:val="clear"/>
            <w:tcMar>
              <w:top w:w="0" w:type="dxa"/>
              <w:left w:w="0" w:type="dxa"/>
              <w:bottom w:w="28" w:type="dxa"/>
            </w:tcMar>
            <w:vAlign w:val="bottom"/>
          </w:tcPr>
          <w:p>
            <w:pPr>
              <w:pStyle w:val="TableContents"/>
              <w:bidi w:val="0"/>
              <w:spacing w:before="0" w:after="0"/>
              <w:jc w:val="left"/>
              <w:rPr>
                <w:color w:val="000000"/>
              </w:rPr>
            </w:pPr>
            <w:r>
              <w:rPr>
                <w:color w:val="000000"/>
              </w:rPr>
              <w:t>$</w:t>
            </w:r>
          </w:p>
        </w:tc>
        <w:tc>
          <w:tcPr>
            <w:tcW w:w="559" w:type="dxa"/>
            <w:tcBorders>
              <w:bottom w:val="double" w:sz="8" w:space="0" w:color="000000"/>
            </w:tcBorders>
            <w:shd w:fill="CCEEFF" w:val="clear"/>
            <w:tcMar>
              <w:top w:w="0" w:type="dxa"/>
              <w:left w:w="0" w:type="dxa"/>
              <w:bottom w:w="28" w:type="dxa"/>
            </w:tcMar>
            <w:vAlign w:val="bottom"/>
          </w:tcPr>
          <w:p>
            <w:pPr>
              <w:pStyle w:val="TableContents"/>
              <w:bidi w:val="0"/>
              <w:spacing w:before="0" w:after="0"/>
              <w:jc w:val="right"/>
              <w:rPr>
                <w:color w:val="000000"/>
              </w:rPr>
            </w:pPr>
            <w:r>
              <w:rPr>
                <w:color w:val="000000"/>
              </w:rPr>
              <w:t>2</w:t>
            </w:r>
          </w:p>
        </w:tc>
        <w:tc>
          <w:tcPr>
            <w:tcW w:w="95" w:type="dxa"/>
            <w:tcBorders>
              <w:bottom w:val="double" w:sz="8" w:space="0" w:color="000000"/>
            </w:tcBorders>
            <w:shd w:fill="CCEEFF" w:val="clear"/>
            <w:tcMar>
              <w:top w:w="0" w:type="dxa"/>
              <w:left w:w="0" w:type="dxa"/>
              <w:bottom w:w="28" w:type="dxa"/>
            </w:tcMar>
            <w:vAlign w:val="bottom"/>
          </w:tcPr>
          <w:p>
            <w:pPr>
              <w:pStyle w:val="TableContents"/>
              <w:bidi w:val="0"/>
              <w:spacing w:before="0" w:after="283"/>
              <w:jc w:val="left"/>
              <w:rPr/>
            </w:pPr>
            <w:r>
              <w:rPr/>
              <w:t> </w:t>
            </w:r>
          </w:p>
        </w:tc>
        <w:tc>
          <w:tcPr>
            <w:tcW w:w="60" w:type="dxa"/>
            <w:tcBorders>
              <w:bottom w:val="double" w:sz="8" w:space="0" w:color="000000"/>
            </w:tcBorders>
            <w:shd w:fill="CCEEFF" w:val="clear"/>
            <w:tcMar>
              <w:top w:w="0" w:type="dxa"/>
              <w:left w:w="0" w:type="dxa"/>
              <w:bottom w:w="28" w:type="dxa"/>
            </w:tcMar>
            <w:vAlign w:val="bottom"/>
          </w:tcPr>
          <w:p>
            <w:pPr>
              <w:pStyle w:val="TableContents"/>
              <w:bidi w:val="0"/>
              <w:spacing w:before="0" w:after="283"/>
              <w:jc w:val="left"/>
              <w:rPr/>
            </w:pPr>
            <w:r>
              <w:rPr/>
              <w:t> </w:t>
            </w:r>
          </w:p>
        </w:tc>
        <w:tc>
          <w:tcPr>
            <w:tcW w:w="187" w:type="dxa"/>
            <w:tcBorders>
              <w:bottom w:val="double" w:sz="8" w:space="0" w:color="000000"/>
            </w:tcBorders>
            <w:shd w:fill="CCEEFF" w:val="clear"/>
            <w:tcMar>
              <w:top w:w="0" w:type="dxa"/>
              <w:left w:w="0" w:type="dxa"/>
              <w:bottom w:w="28" w:type="dxa"/>
            </w:tcMar>
            <w:vAlign w:val="bottom"/>
          </w:tcPr>
          <w:p>
            <w:pPr>
              <w:pStyle w:val="TableContents"/>
              <w:bidi w:val="0"/>
              <w:spacing w:before="0" w:after="0"/>
              <w:jc w:val="left"/>
              <w:rPr>
                <w:color w:val="000000"/>
              </w:rPr>
            </w:pPr>
            <w:r>
              <w:rPr>
                <w:color w:val="000000"/>
              </w:rPr>
              <w:t>$</w:t>
            </w:r>
          </w:p>
        </w:tc>
        <w:tc>
          <w:tcPr>
            <w:tcW w:w="913" w:type="dxa"/>
            <w:tcBorders>
              <w:bottom w:val="double" w:sz="8" w:space="0" w:color="000000"/>
            </w:tcBorders>
            <w:shd w:fill="CCEEFF" w:val="clear"/>
            <w:tcMar>
              <w:top w:w="0" w:type="dxa"/>
              <w:left w:w="0" w:type="dxa"/>
              <w:bottom w:w="28" w:type="dxa"/>
            </w:tcMar>
            <w:vAlign w:val="bottom"/>
          </w:tcPr>
          <w:p>
            <w:pPr>
              <w:pStyle w:val="TableContents"/>
              <w:bidi w:val="0"/>
              <w:spacing w:before="0" w:after="0"/>
              <w:jc w:val="right"/>
              <w:rPr>
                <w:color w:val="000000"/>
              </w:rPr>
            </w:pPr>
            <w:r>
              <w:rPr>
                <w:color w:val="000000"/>
              </w:rPr>
              <w:t>77,759</w:t>
            </w:r>
          </w:p>
        </w:tc>
        <w:tc>
          <w:tcPr>
            <w:tcW w:w="60" w:type="dxa"/>
            <w:tcBorders>
              <w:bottom w:val="double" w:sz="8" w:space="0" w:color="000000"/>
            </w:tcBorders>
            <w:shd w:fill="CCEEFF" w:val="clear"/>
            <w:tcMar>
              <w:top w:w="0" w:type="dxa"/>
              <w:left w:w="0" w:type="dxa"/>
              <w:bottom w:w="28" w:type="dxa"/>
            </w:tcMar>
            <w:vAlign w:val="bottom"/>
          </w:tcPr>
          <w:p>
            <w:pPr>
              <w:pStyle w:val="TableContents"/>
              <w:bidi w:val="0"/>
              <w:spacing w:before="0" w:after="283"/>
              <w:jc w:val="left"/>
              <w:rPr/>
            </w:pPr>
            <w:r>
              <w:rPr/>
              <w:t> </w:t>
            </w:r>
          </w:p>
        </w:tc>
        <w:tc>
          <w:tcPr>
            <w:tcW w:w="60" w:type="dxa"/>
            <w:tcBorders>
              <w:bottom w:val="double" w:sz="8" w:space="0" w:color="000000"/>
            </w:tcBorders>
            <w:shd w:fill="CCEEFF" w:val="clear"/>
            <w:tcMar>
              <w:top w:w="0" w:type="dxa"/>
              <w:left w:w="0" w:type="dxa"/>
              <w:bottom w:w="28" w:type="dxa"/>
            </w:tcMar>
            <w:vAlign w:val="bottom"/>
          </w:tcPr>
          <w:p>
            <w:pPr>
              <w:pStyle w:val="TableContents"/>
              <w:bidi w:val="0"/>
              <w:spacing w:before="0" w:after="283"/>
              <w:jc w:val="left"/>
              <w:rPr/>
            </w:pPr>
            <w:r>
              <w:rPr/>
              <w:t> </w:t>
            </w:r>
          </w:p>
        </w:tc>
        <w:tc>
          <w:tcPr>
            <w:tcW w:w="563" w:type="dxa"/>
            <w:tcBorders>
              <w:bottom w:val="double" w:sz="8" w:space="0" w:color="000000"/>
            </w:tcBorders>
            <w:shd w:fill="CCEEFF" w:val="clear"/>
            <w:tcMar>
              <w:top w:w="0" w:type="dxa"/>
              <w:left w:w="0" w:type="dxa"/>
              <w:bottom w:w="28" w:type="dxa"/>
            </w:tcMar>
            <w:vAlign w:val="bottom"/>
          </w:tcPr>
          <w:p>
            <w:pPr>
              <w:pStyle w:val="TableContents"/>
              <w:bidi w:val="0"/>
              <w:spacing w:before="0" w:after="0"/>
              <w:jc w:val="left"/>
              <w:rPr>
                <w:color w:val="000000"/>
              </w:rPr>
            </w:pPr>
            <w:r>
              <w:rPr>
                <w:color w:val="000000"/>
              </w:rPr>
              <w:t>$</w:t>
            </w:r>
          </w:p>
        </w:tc>
        <w:tc>
          <w:tcPr>
            <w:tcW w:w="1047" w:type="dxa"/>
            <w:tcBorders>
              <w:bottom w:val="double" w:sz="8" w:space="0" w:color="000000"/>
            </w:tcBorders>
            <w:shd w:fill="CCEEFF" w:val="clear"/>
            <w:tcMar>
              <w:top w:w="0" w:type="dxa"/>
              <w:left w:w="0" w:type="dxa"/>
              <w:bottom w:w="28" w:type="dxa"/>
            </w:tcMar>
            <w:vAlign w:val="bottom"/>
          </w:tcPr>
          <w:p>
            <w:pPr>
              <w:pStyle w:val="TableContents"/>
              <w:bidi w:val="0"/>
              <w:spacing w:before="0" w:after="0"/>
              <w:jc w:val="right"/>
              <w:rPr>
                <w:color w:val="000000"/>
              </w:rPr>
            </w:pPr>
            <w:r>
              <w:rPr>
                <w:color w:val="000000"/>
              </w:rPr>
              <w:t>79</w:t>
            </w:r>
          </w:p>
        </w:tc>
        <w:tc>
          <w:tcPr>
            <w:tcW w:w="95" w:type="dxa"/>
            <w:tcBorders>
              <w:bottom w:val="double" w:sz="8" w:space="0" w:color="000000"/>
            </w:tcBorders>
            <w:shd w:fill="CCEEFF" w:val="clear"/>
            <w:tcMar>
              <w:top w:w="0" w:type="dxa"/>
              <w:left w:w="0" w:type="dxa"/>
              <w:bottom w:w="28" w:type="dxa"/>
            </w:tcMar>
            <w:vAlign w:val="bottom"/>
          </w:tcPr>
          <w:p>
            <w:pPr>
              <w:pStyle w:val="TableContents"/>
              <w:bidi w:val="0"/>
              <w:spacing w:before="0" w:after="283"/>
              <w:jc w:val="left"/>
              <w:rPr/>
            </w:pPr>
            <w:r>
              <w:rPr/>
              <w:t> </w:t>
            </w:r>
          </w:p>
        </w:tc>
        <w:tc>
          <w:tcPr>
            <w:tcW w:w="60" w:type="dxa"/>
            <w:tcBorders>
              <w:bottom w:val="double" w:sz="8" w:space="0" w:color="000000"/>
            </w:tcBorders>
            <w:shd w:fill="CCEEFF" w:val="clear"/>
            <w:tcMar>
              <w:top w:w="0" w:type="dxa"/>
              <w:left w:w="0" w:type="dxa"/>
              <w:bottom w:w="28" w:type="dxa"/>
            </w:tcMar>
            <w:vAlign w:val="bottom"/>
          </w:tcPr>
          <w:p>
            <w:pPr>
              <w:pStyle w:val="TableContents"/>
              <w:bidi w:val="0"/>
              <w:spacing w:before="0" w:after="283"/>
              <w:jc w:val="left"/>
              <w:rPr/>
            </w:pPr>
            <w:r>
              <w:rPr/>
              <w:t> </w:t>
            </w:r>
          </w:p>
        </w:tc>
        <w:tc>
          <w:tcPr>
            <w:tcW w:w="160" w:type="dxa"/>
            <w:tcBorders>
              <w:bottom w:val="double" w:sz="8" w:space="0" w:color="000000"/>
            </w:tcBorders>
            <w:shd w:fill="CCEEFF" w:val="clear"/>
            <w:tcMar>
              <w:top w:w="0" w:type="dxa"/>
              <w:left w:w="0" w:type="dxa"/>
              <w:bottom w:w="28" w:type="dxa"/>
            </w:tcMar>
            <w:vAlign w:val="bottom"/>
          </w:tcPr>
          <w:p>
            <w:pPr>
              <w:pStyle w:val="TableContents"/>
              <w:bidi w:val="0"/>
              <w:spacing w:before="0" w:after="0"/>
              <w:jc w:val="left"/>
              <w:rPr>
                <w:color w:val="000000"/>
              </w:rPr>
            </w:pPr>
            <w:r>
              <w:rPr>
                <w:color w:val="000000"/>
              </w:rPr>
              <w:t>$</w:t>
            </w:r>
          </w:p>
        </w:tc>
        <w:tc>
          <w:tcPr>
            <w:tcW w:w="1210" w:type="dxa"/>
            <w:tcBorders>
              <w:bottom w:val="double" w:sz="8" w:space="0" w:color="000000"/>
            </w:tcBorders>
            <w:shd w:fill="CCEEFF" w:val="clear"/>
            <w:tcMar>
              <w:top w:w="0" w:type="dxa"/>
              <w:left w:w="0" w:type="dxa"/>
              <w:bottom w:w="28" w:type="dxa"/>
            </w:tcMar>
            <w:vAlign w:val="bottom"/>
          </w:tcPr>
          <w:p>
            <w:pPr>
              <w:pStyle w:val="TableContents"/>
              <w:bidi w:val="0"/>
              <w:spacing w:before="0" w:after="0"/>
              <w:jc w:val="right"/>
              <w:rPr>
                <w:color w:val="000000"/>
              </w:rPr>
            </w:pPr>
            <w:r>
              <w:rPr>
                <w:color w:val="000000"/>
              </w:rPr>
              <w:t>(1,244,367</w:t>
            </w:r>
          </w:p>
        </w:tc>
        <w:tc>
          <w:tcPr>
            <w:tcW w:w="95" w:type="dxa"/>
            <w:tcBorders>
              <w:bottom w:val="double" w:sz="8" w:space="0" w:color="000000"/>
            </w:tcBorders>
            <w:shd w:fill="CCEEFF" w:val="clear"/>
            <w:tcMar>
              <w:top w:w="0" w:type="dxa"/>
              <w:left w:w="0" w:type="dxa"/>
              <w:bottom w:w="28" w:type="dxa"/>
            </w:tcMar>
            <w:vAlign w:val="bottom"/>
          </w:tcPr>
          <w:p>
            <w:pPr>
              <w:pStyle w:val="TableContents"/>
              <w:bidi w:val="0"/>
              <w:spacing w:before="0" w:after="0"/>
              <w:jc w:val="left"/>
              <w:rPr>
                <w:color w:val="000000"/>
              </w:rPr>
            </w:pPr>
            <w:r>
              <w:rPr>
                <w:color w:val="000000"/>
              </w:rPr>
              <w:t>)</w:t>
            </w:r>
          </w:p>
        </w:tc>
        <w:tc>
          <w:tcPr>
            <w:tcW w:w="60" w:type="dxa"/>
            <w:tcBorders>
              <w:bottom w:val="double" w:sz="8" w:space="0" w:color="000000"/>
            </w:tcBorders>
            <w:shd w:fill="CCEEFF" w:val="clear"/>
            <w:tcMar>
              <w:top w:w="0" w:type="dxa"/>
              <w:left w:w="0" w:type="dxa"/>
              <w:bottom w:w="28" w:type="dxa"/>
            </w:tcMar>
            <w:vAlign w:val="bottom"/>
          </w:tcPr>
          <w:p>
            <w:pPr>
              <w:pStyle w:val="TableContents"/>
              <w:bidi w:val="0"/>
              <w:spacing w:before="0" w:after="283"/>
              <w:jc w:val="left"/>
              <w:rPr/>
            </w:pPr>
            <w:r>
              <w:rPr/>
              <w:t> </w:t>
            </w:r>
          </w:p>
        </w:tc>
        <w:tc>
          <w:tcPr>
            <w:tcW w:w="156" w:type="dxa"/>
            <w:tcBorders>
              <w:bottom w:val="double" w:sz="8" w:space="0" w:color="000000"/>
            </w:tcBorders>
            <w:shd w:fill="CCEEFF" w:val="clear"/>
            <w:tcMar>
              <w:top w:w="0" w:type="dxa"/>
              <w:left w:w="0" w:type="dxa"/>
              <w:bottom w:w="28" w:type="dxa"/>
            </w:tcMar>
            <w:vAlign w:val="bottom"/>
          </w:tcPr>
          <w:p>
            <w:pPr>
              <w:pStyle w:val="TableContents"/>
              <w:bidi w:val="0"/>
              <w:spacing w:before="0" w:after="0"/>
              <w:jc w:val="left"/>
              <w:rPr>
                <w:color w:val="000000"/>
              </w:rPr>
            </w:pPr>
            <w:r>
              <w:rPr>
                <w:color w:val="000000"/>
              </w:rPr>
              <w:t>$</w:t>
            </w:r>
          </w:p>
        </w:tc>
        <w:tc>
          <w:tcPr>
            <w:tcW w:w="1184" w:type="dxa"/>
            <w:tcBorders>
              <w:bottom w:val="double" w:sz="8" w:space="0" w:color="000000"/>
            </w:tcBorders>
            <w:shd w:fill="CCEEFF" w:val="clear"/>
            <w:tcMar>
              <w:top w:w="0" w:type="dxa"/>
              <w:left w:w="0" w:type="dxa"/>
              <w:bottom w:w="28" w:type="dxa"/>
            </w:tcMar>
            <w:vAlign w:val="bottom"/>
          </w:tcPr>
          <w:p>
            <w:pPr>
              <w:pStyle w:val="TableContents"/>
              <w:bidi w:val="0"/>
              <w:spacing w:before="0" w:after="0"/>
              <w:jc w:val="right"/>
              <w:rPr>
                <w:color w:val="000000"/>
              </w:rPr>
            </w:pPr>
            <w:r>
              <w:rPr>
                <w:color w:val="000000"/>
              </w:rPr>
              <w:t>(1,166,527</w:t>
            </w:r>
          </w:p>
        </w:tc>
        <w:tc>
          <w:tcPr>
            <w:tcW w:w="95" w:type="dxa"/>
            <w:tcBorders>
              <w:bottom w:val="double" w:sz="8" w:space="0" w:color="000000"/>
              <w:right w:val="single" w:sz="12" w:space="0" w:color="000000"/>
            </w:tcBorders>
            <w:shd w:fill="CCEEFF" w:val="clear"/>
            <w:tcMar>
              <w:top w:w="0" w:type="dxa"/>
              <w:left w:w="0" w:type="dxa"/>
              <w:bottom w:w="28" w:type="dxa"/>
              <w:right w:w="28" w:type="dxa"/>
            </w:tcMar>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0" w:after="0"/>
        <w:jc w:val="left"/>
        <w:rPr>
          <w:i w:val="false"/>
          <w:caps w:val="false"/>
          <w:smallCaps w:val="false"/>
          <w:color w:val="000000"/>
        </w:rPr>
      </w:pPr>
      <w:r>
        <w:rPr>
          <w:i w:val="false"/>
          <w:caps w:val="false"/>
          <w:smallCaps w:val="false"/>
          <w:color w:val="00000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bookmarkStart w:id="19" w:name="Section6"/>
      <w:bookmarkEnd w:id="19"/>
      <w:r>
        <w:rPr>
          <w:rFonts w:ascii="Times New Roman" w:hAnsi="Times New Roman"/>
          <w:b/>
          <w:color w:val="000000"/>
          <w:sz w:val="20"/>
        </w:rPr>
        <w:t>FREENOME HOLDINGS,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Condensed Consolidated Statements of Convertible Preferred Stock and Stockholders’ Deficit (unaudited)</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(in thousands, except share amounts)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0" w:name="z7ea9a545c7ef41f999d1cb0be19c3ba8"/>
      <w:bookmarkStart w:id="21" w:name="z7ea9a545c7ef41f999d1cb0be19c3ba8"/>
      <w:bookmarkEnd w:id="21"/>
    </w:p>
    <w:tbl>
      <w:tblPr>
        <w:tblW w:w="16360" w:type="dxa"/>
        <w:jc w:val="left"/>
        <w:tblInd w:w="-15" w:type="dxa"/>
        <w:tblLayout w:type="fixed"/>
        <w:tblCellMar>
          <w:top w:w="28" w:type="dxa"/>
          <w:left w:w="28" w:type="dxa"/>
          <w:bottom w:w="0" w:type="dxa"/>
          <w:right w:w="0" w:type="dxa"/>
        </w:tblCellMar>
      </w:tblPr>
      <w:tblGrid>
        <w:gridCol w:w="4370"/>
        <w:gridCol w:w="60"/>
        <w:gridCol w:w="60"/>
        <w:gridCol w:w="1220"/>
        <w:gridCol w:w="60"/>
        <w:gridCol w:w="60"/>
        <w:gridCol w:w="140"/>
        <w:gridCol w:w="980"/>
        <w:gridCol w:w="60"/>
        <w:gridCol w:w="60"/>
        <w:gridCol w:w="60"/>
        <w:gridCol w:w="1100"/>
        <w:gridCol w:w="60"/>
        <w:gridCol w:w="60"/>
        <w:gridCol w:w="301"/>
        <w:gridCol w:w="559"/>
        <w:gridCol w:w="60"/>
        <w:gridCol w:w="60"/>
        <w:gridCol w:w="187"/>
        <w:gridCol w:w="913"/>
        <w:gridCol w:w="60"/>
        <w:gridCol w:w="60"/>
        <w:gridCol w:w="337"/>
        <w:gridCol w:w="628"/>
        <w:gridCol w:w="60"/>
        <w:gridCol w:w="60"/>
        <w:gridCol w:w="433"/>
        <w:gridCol w:w="1177"/>
        <w:gridCol w:w="95"/>
        <w:gridCol w:w="60"/>
        <w:gridCol w:w="160"/>
        <w:gridCol w:w="1210"/>
        <w:gridCol w:w="95"/>
        <w:gridCol w:w="60"/>
        <w:gridCol w:w="156"/>
        <w:gridCol w:w="1184"/>
        <w:gridCol w:w="95"/>
      </w:tblGrid>
      <w:tr>
        <w:trPr/>
        <w:tc>
          <w:tcPr>
            <w:tcW w:w="4370" w:type="dxa"/>
            <w:tcBorders>
              <w:top w:val="single" w:sz="12" w:space="0" w:color="000000"/>
              <w:left w:val="single" w:sz="12" w:space="0" w:color="000000"/>
            </w:tcBorders>
            <w:vAlign w:val="bottom"/>
          </w:tcPr>
          <w:p>
            <w:pPr>
              <w:pStyle w:val="TableContents"/>
              <w:bidi w:val="0"/>
              <w:spacing w:before="0" w:after="283"/>
              <w:jc w:val="left"/>
              <w:rPr/>
            </w:pPr>
            <w:r>
              <w:rPr/>
              <w:t> </w:t>
            </w:r>
          </w:p>
        </w:tc>
        <w:tc>
          <w:tcPr>
            <w:tcW w:w="60" w:type="dxa"/>
            <w:tcBorders>
              <w:top w:val="single" w:sz="12" w:space="0" w:color="000000"/>
            </w:tcBorders>
            <w:tcMar>
              <w:left w:w="0" w:type="dxa"/>
            </w:tcMar>
            <w:vAlign w:val="bottom"/>
          </w:tcPr>
          <w:p>
            <w:pPr>
              <w:pStyle w:val="TableContents"/>
              <w:bidi w:val="0"/>
              <w:spacing w:before="0" w:after="283"/>
              <w:jc w:val="left"/>
              <w:rPr/>
            </w:pPr>
            <w:r>
              <w:rPr/>
              <w:t> </w:t>
            </w:r>
          </w:p>
        </w:tc>
        <w:tc>
          <w:tcPr>
            <w:tcW w:w="11835" w:type="dxa"/>
            <w:gridSpan w:val="34"/>
            <w:tcBorders>
              <w:top w:val="single" w:sz="12" w:space="0" w:color="000000"/>
              <w:bottom w:val="single" w:sz="12" w:space="0" w:color="000000"/>
            </w:tcBorders>
            <w:tcMar>
              <w:left w:w="0" w:type="dxa"/>
              <w:bottom w:w="28" w:type="dxa"/>
            </w:tcMar>
            <w:vAlign w:val="bottom"/>
          </w:tcPr>
          <w:p>
            <w:pPr>
              <w:pStyle w:val="TableContents"/>
              <w:bidi w:val="0"/>
              <w:spacing w:before="0" w:after="0"/>
              <w:jc w:val="center"/>
              <w:rPr>
                <w:b/>
                <w:color w:val="000000"/>
              </w:rPr>
            </w:pPr>
            <w:r>
              <w:rPr>
                <w:b/>
                <w:color w:val="000000"/>
              </w:rPr>
              <w:t>Six Months Ended June 30, 2026</w:t>
            </w:r>
          </w:p>
        </w:tc>
        <w:tc>
          <w:tcPr>
            <w:tcW w:w="95" w:type="dxa"/>
            <w:tcBorders>
              <w:top w:val="single" w:sz="12" w:space="0" w:color="000000"/>
              <w:bottom w:val="single" w:sz="12" w:space="0" w:color="000000"/>
              <w:right w:val="single" w:sz="12" w:space="0" w:color="000000"/>
            </w:tcBorders>
            <w:tcMar>
              <w:left w:w="0" w:type="dxa"/>
              <w:bottom w:w="28" w:type="dxa"/>
              <w:right w:w="28" w:type="dxa"/>
            </w:tcMar>
            <w:vAlign w:val="bottom"/>
          </w:tcPr>
          <w:p>
            <w:pPr>
              <w:pStyle w:val="TableContents"/>
              <w:bidi w:val="0"/>
              <w:spacing w:before="0" w:after="283"/>
              <w:jc w:val="left"/>
              <w:rPr/>
            </w:pPr>
            <w:r>
              <w:rPr/>
              <w:t> </w:t>
            </w:r>
          </w:p>
        </w:tc>
      </w:tr>
      <w:tr>
        <w:trPr/>
        <w:tc>
          <w:tcPr>
            <w:tcW w:w="4370" w:type="dxa"/>
            <w:tcBorders>
              <w:left w:val="single" w:sz="12" w:space="0" w:color="000000"/>
            </w:tcBorders>
            <w:tcMar>
              <w:top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2520" w:type="dxa"/>
            <w:gridSpan w:val="6"/>
            <w:tcBorders>
              <w:bottom w:val="single" w:sz="12" w:space="0" w:color="000000"/>
            </w:tcBorders>
            <w:tcMar>
              <w:top w:w="0" w:type="dxa"/>
              <w:left w:w="0" w:type="dxa"/>
              <w:bottom w:w="28" w:type="dxa"/>
            </w:tcMar>
            <w:vAlign w:val="bottom"/>
          </w:tcPr>
          <w:p>
            <w:pPr>
              <w:pStyle w:val="TableContents"/>
              <w:bidi w:val="0"/>
              <w:spacing w:before="0" w:after="0"/>
              <w:jc w:val="center"/>
              <w:rPr>
                <w:b/>
                <w:color w:val="000000"/>
              </w:rPr>
            </w:pPr>
            <w:r>
              <w:rPr>
                <w:b/>
                <w:color w:val="000000"/>
              </w:rPr>
              <w:t>Convertible</w:t>
            </w:r>
          </w:p>
          <w:p>
            <w:pPr>
              <w:pStyle w:val="TableContents"/>
              <w:bidi w:val="0"/>
              <w:spacing w:before="0" w:after="0"/>
              <w:jc w:val="center"/>
              <w:rPr>
                <w:b/>
                <w:color w:val="000000"/>
              </w:rPr>
            </w:pPr>
            <w:r>
              <w:rPr>
                <w:b/>
                <w:color w:val="000000"/>
              </w:rPr>
              <w:t>Preferred Stock</w:t>
            </w:r>
          </w:p>
        </w:tc>
        <w:tc>
          <w:tcPr>
            <w:tcW w:w="60" w:type="dxa"/>
            <w:tcBorders/>
            <w:tcMar>
              <w:top w:w="0" w:type="dxa"/>
              <w:left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2140" w:type="dxa"/>
            <w:gridSpan w:val="6"/>
            <w:tcBorders>
              <w:bottom w:val="single" w:sz="12" w:space="0" w:color="000000"/>
            </w:tcBorders>
            <w:tcMar>
              <w:top w:w="0" w:type="dxa"/>
              <w:left w:w="0" w:type="dxa"/>
              <w:bottom w:w="28" w:type="dxa"/>
            </w:tcMar>
            <w:vAlign w:val="bottom"/>
          </w:tcPr>
          <w:p>
            <w:pPr>
              <w:pStyle w:val="TableContents"/>
              <w:bidi w:val="0"/>
              <w:spacing w:before="0" w:after="0"/>
              <w:jc w:val="center"/>
              <w:rPr>
                <w:b/>
                <w:color w:val="000000"/>
              </w:rPr>
            </w:pPr>
            <w:r>
              <w:rPr>
                <w:b/>
                <w:color w:val="000000"/>
              </w:rPr>
              <w:t>Common Stock</w:t>
            </w:r>
          </w:p>
        </w:tc>
        <w:tc>
          <w:tcPr>
            <w:tcW w:w="60" w:type="dxa"/>
            <w:tcBorders/>
            <w:tcMar>
              <w:top w:w="0" w:type="dxa"/>
              <w:left w:w="0" w:type="dxa"/>
            </w:tcMar>
            <w:vAlign w:val="bottom"/>
          </w:tcPr>
          <w:p>
            <w:pPr>
              <w:pStyle w:val="TableContents"/>
              <w:bidi w:val="0"/>
              <w:spacing w:before="0" w:after="283"/>
              <w:jc w:val="left"/>
              <w:rPr/>
            </w:pPr>
            <w:r>
              <w:rPr/>
              <w:t> </w:t>
            </w:r>
          </w:p>
        </w:tc>
        <w:tc>
          <w:tcPr>
            <w:tcW w:w="60" w:type="dxa"/>
            <w:vMerge w:val="restart"/>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1100" w:type="dxa"/>
            <w:gridSpan w:val="2"/>
            <w:vMerge w:val="restart"/>
            <w:tcBorders>
              <w:bottom w:val="single" w:sz="12" w:space="0" w:color="000000"/>
            </w:tcBorders>
            <w:tcMar>
              <w:top w:w="0" w:type="dxa"/>
              <w:left w:w="0" w:type="dxa"/>
              <w:bottom w:w="28" w:type="dxa"/>
            </w:tcMar>
            <w:vAlign w:val="bottom"/>
          </w:tcPr>
          <w:p>
            <w:pPr>
              <w:pStyle w:val="TableContents"/>
              <w:bidi w:val="0"/>
              <w:spacing w:before="0" w:after="0"/>
              <w:jc w:val="center"/>
              <w:rPr>
                <w:b/>
                <w:color w:val="000000"/>
              </w:rPr>
            </w:pPr>
            <w:r>
              <w:rPr>
                <w:b/>
                <w:color w:val="000000"/>
              </w:rPr>
              <w:t>Additional</w:t>
            </w:r>
          </w:p>
          <w:p>
            <w:pPr>
              <w:pStyle w:val="TableContents"/>
              <w:bidi w:val="0"/>
              <w:spacing w:before="0" w:after="0"/>
              <w:jc w:val="center"/>
              <w:rPr>
                <w:b/>
                <w:color w:val="000000"/>
              </w:rPr>
            </w:pPr>
            <w:r>
              <w:rPr>
                <w:b/>
                <w:color w:val="000000"/>
              </w:rPr>
              <w:t>Paid-in</w:t>
            </w:r>
          </w:p>
          <w:p>
            <w:pPr>
              <w:pStyle w:val="TableContents"/>
              <w:bidi w:val="0"/>
              <w:spacing w:before="0" w:after="0"/>
              <w:jc w:val="center"/>
              <w:rPr>
                <w:b/>
                <w:color w:val="000000"/>
              </w:rPr>
            </w:pPr>
            <w:r>
              <w:rPr>
                <w:b/>
                <w:color w:val="000000"/>
              </w:rPr>
              <w:t>Capital</w:t>
            </w:r>
          </w:p>
        </w:tc>
        <w:tc>
          <w:tcPr>
            <w:tcW w:w="60" w:type="dxa"/>
            <w:vMerge w:val="restart"/>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60" w:type="dxa"/>
            <w:vMerge w:val="restart"/>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965" w:type="dxa"/>
            <w:gridSpan w:val="2"/>
            <w:vMerge w:val="restart"/>
            <w:tcBorders>
              <w:bottom w:val="single" w:sz="12" w:space="0" w:color="000000"/>
            </w:tcBorders>
            <w:tcMar>
              <w:top w:w="0" w:type="dxa"/>
              <w:left w:w="0" w:type="dxa"/>
              <w:bottom w:w="28" w:type="dxa"/>
            </w:tcMar>
            <w:vAlign w:val="bottom"/>
          </w:tcPr>
          <w:p>
            <w:pPr>
              <w:pStyle w:val="TableContents"/>
              <w:bidi w:val="0"/>
              <w:spacing w:before="0" w:after="0"/>
              <w:jc w:val="center"/>
              <w:rPr>
                <w:b/>
                <w:color w:val="000000"/>
              </w:rPr>
            </w:pPr>
            <w:r>
              <w:rPr>
                <w:b/>
                <w:color w:val="000000"/>
              </w:rPr>
              <w:t>Treasury</w:t>
            </w:r>
          </w:p>
          <w:p>
            <w:pPr>
              <w:pStyle w:val="TableContents"/>
              <w:bidi w:val="0"/>
              <w:spacing w:before="0" w:after="0"/>
              <w:jc w:val="center"/>
              <w:rPr>
                <w:b/>
                <w:color w:val="000000"/>
              </w:rPr>
            </w:pPr>
            <w:r>
              <w:rPr>
                <w:b/>
                <w:color w:val="000000"/>
              </w:rPr>
              <w:t>Stock</w:t>
            </w:r>
          </w:p>
        </w:tc>
        <w:tc>
          <w:tcPr>
            <w:tcW w:w="60" w:type="dxa"/>
            <w:vMerge w:val="restart"/>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60" w:type="dxa"/>
            <w:vMerge w:val="restart"/>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1610" w:type="dxa"/>
            <w:gridSpan w:val="2"/>
            <w:vMerge w:val="restart"/>
            <w:tcBorders>
              <w:bottom w:val="single" w:sz="12" w:space="0" w:color="000000"/>
            </w:tcBorders>
            <w:tcMar>
              <w:top w:w="0" w:type="dxa"/>
              <w:left w:w="0" w:type="dxa"/>
              <w:bottom w:w="28" w:type="dxa"/>
            </w:tcMar>
            <w:vAlign w:val="bottom"/>
          </w:tcPr>
          <w:p>
            <w:pPr>
              <w:pStyle w:val="TableContents"/>
              <w:bidi w:val="0"/>
              <w:spacing w:before="0" w:after="0"/>
              <w:jc w:val="center"/>
              <w:rPr>
                <w:b/>
                <w:color w:val="000000"/>
              </w:rPr>
            </w:pPr>
            <w:r>
              <w:rPr>
                <w:b/>
                <w:color w:val="000000"/>
              </w:rPr>
              <w:t>Accumulated</w:t>
            </w:r>
          </w:p>
          <w:p>
            <w:pPr>
              <w:pStyle w:val="TableContents"/>
              <w:bidi w:val="0"/>
              <w:spacing w:before="0" w:after="0"/>
              <w:jc w:val="center"/>
              <w:rPr>
                <w:b/>
                <w:color w:val="000000"/>
              </w:rPr>
            </w:pPr>
            <w:r>
              <w:rPr>
                <w:b/>
                <w:color w:val="000000"/>
              </w:rPr>
              <w:t>Other</w:t>
            </w:r>
          </w:p>
          <w:p>
            <w:pPr>
              <w:pStyle w:val="TableContents"/>
              <w:bidi w:val="0"/>
              <w:spacing w:before="0" w:after="0"/>
              <w:jc w:val="center"/>
              <w:rPr>
                <w:b/>
                <w:color w:val="000000"/>
              </w:rPr>
            </w:pPr>
            <w:r>
              <w:rPr>
                <w:b/>
                <w:color w:val="000000"/>
              </w:rPr>
              <w:t>Comprehensive</w:t>
            </w:r>
          </w:p>
          <w:p>
            <w:pPr>
              <w:pStyle w:val="TableContents"/>
              <w:bidi w:val="0"/>
              <w:spacing w:before="0" w:after="0"/>
              <w:jc w:val="center"/>
              <w:rPr>
                <w:b/>
                <w:color w:val="000000"/>
              </w:rPr>
            </w:pPr>
            <w:r>
              <w:rPr>
                <w:b/>
                <w:color w:val="000000"/>
              </w:rPr>
              <w:t>Gain (Loss)</w:t>
            </w:r>
          </w:p>
        </w:tc>
        <w:tc>
          <w:tcPr>
            <w:tcW w:w="95" w:type="dxa"/>
            <w:vMerge w:val="restart"/>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60" w:type="dxa"/>
            <w:vMerge w:val="restart"/>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1370" w:type="dxa"/>
            <w:gridSpan w:val="2"/>
            <w:vMerge w:val="restart"/>
            <w:tcBorders>
              <w:bottom w:val="single" w:sz="12" w:space="0" w:color="000000"/>
            </w:tcBorders>
            <w:tcMar>
              <w:top w:w="0" w:type="dxa"/>
              <w:left w:w="0" w:type="dxa"/>
              <w:bottom w:w="28" w:type="dxa"/>
            </w:tcMar>
            <w:vAlign w:val="bottom"/>
          </w:tcPr>
          <w:p>
            <w:pPr>
              <w:pStyle w:val="TableContents"/>
              <w:bidi w:val="0"/>
              <w:spacing w:before="0" w:after="0"/>
              <w:jc w:val="center"/>
              <w:rPr>
                <w:b/>
                <w:color w:val="000000"/>
              </w:rPr>
            </w:pPr>
            <w:r>
              <w:rPr>
                <w:b/>
                <w:color w:val="000000"/>
              </w:rPr>
              <w:t>Accumulated</w:t>
            </w:r>
          </w:p>
          <w:p>
            <w:pPr>
              <w:pStyle w:val="TableContents"/>
              <w:bidi w:val="0"/>
              <w:spacing w:before="0" w:after="0"/>
              <w:jc w:val="center"/>
              <w:rPr>
                <w:b/>
                <w:color w:val="000000"/>
              </w:rPr>
            </w:pPr>
            <w:r>
              <w:rPr>
                <w:b/>
                <w:color w:val="000000"/>
              </w:rPr>
              <w:t>Deficit</w:t>
            </w:r>
          </w:p>
        </w:tc>
        <w:tc>
          <w:tcPr>
            <w:tcW w:w="95" w:type="dxa"/>
            <w:vMerge w:val="restart"/>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60" w:type="dxa"/>
            <w:vMerge w:val="restart"/>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1340" w:type="dxa"/>
            <w:gridSpan w:val="2"/>
            <w:vMerge w:val="restart"/>
            <w:tcBorders>
              <w:bottom w:val="single" w:sz="12" w:space="0" w:color="000000"/>
            </w:tcBorders>
            <w:tcMar>
              <w:top w:w="0" w:type="dxa"/>
              <w:left w:w="0" w:type="dxa"/>
              <w:bottom w:w="28" w:type="dxa"/>
            </w:tcMar>
            <w:vAlign w:val="bottom"/>
          </w:tcPr>
          <w:p>
            <w:pPr>
              <w:pStyle w:val="TableContents"/>
              <w:bidi w:val="0"/>
              <w:spacing w:before="0" w:after="0"/>
              <w:jc w:val="center"/>
              <w:rPr>
                <w:b/>
                <w:color w:val="000000"/>
              </w:rPr>
            </w:pPr>
            <w:r>
              <w:rPr>
                <w:b/>
                <w:color w:val="000000"/>
              </w:rPr>
              <w:t>Total</w:t>
            </w:r>
          </w:p>
          <w:p>
            <w:pPr>
              <w:pStyle w:val="TableContents"/>
              <w:bidi w:val="0"/>
              <w:spacing w:before="0" w:after="0"/>
              <w:jc w:val="center"/>
              <w:rPr>
                <w:b/>
                <w:color w:val="000000"/>
              </w:rPr>
            </w:pPr>
            <w:r>
              <w:rPr>
                <w:b/>
                <w:color w:val="000000"/>
              </w:rPr>
              <w:t>Stockholders’</w:t>
            </w:r>
          </w:p>
          <w:p>
            <w:pPr>
              <w:pStyle w:val="TableContents"/>
              <w:bidi w:val="0"/>
              <w:spacing w:before="0" w:after="0"/>
              <w:jc w:val="center"/>
              <w:rPr>
                <w:b/>
                <w:color w:val="000000"/>
              </w:rPr>
            </w:pPr>
            <w:r>
              <w:rPr>
                <w:b/>
                <w:color w:val="000000"/>
              </w:rPr>
              <w:t>Deficit</w:t>
            </w:r>
          </w:p>
        </w:tc>
        <w:tc>
          <w:tcPr>
            <w:tcW w:w="95" w:type="dxa"/>
            <w:vMerge w:val="restart"/>
            <w:tcBorders>
              <w:bottom w:val="single" w:sz="12" w:space="0" w:color="000000"/>
              <w:right w:val="single" w:sz="12" w:space="0" w:color="000000"/>
            </w:tcBorders>
            <w:tcMar>
              <w:top w:w="0" w:type="dxa"/>
              <w:left w:w="0" w:type="dxa"/>
              <w:bottom w:w="28" w:type="dxa"/>
              <w:right w:w="28" w:type="dxa"/>
            </w:tcMar>
            <w:vAlign w:val="bottom"/>
          </w:tcPr>
          <w:p>
            <w:pPr>
              <w:pStyle w:val="TableContents"/>
              <w:bidi w:val="0"/>
              <w:spacing w:before="0" w:after="283"/>
              <w:jc w:val="left"/>
              <w:rPr/>
            </w:pPr>
            <w:r>
              <w:rPr/>
              <w:t> </w:t>
            </w:r>
          </w:p>
        </w:tc>
      </w:tr>
      <w:tr>
        <w:trPr/>
        <w:tc>
          <w:tcPr>
            <w:tcW w:w="4370" w:type="dxa"/>
            <w:tcBorders>
              <w:left w:val="single" w:sz="12" w:space="0" w:color="000000"/>
              <w:bottom w:val="single" w:sz="12" w:space="0" w:color="000000"/>
            </w:tcBorders>
            <w:tcMar>
              <w:top w:w="0" w:type="dxa"/>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1280" w:type="dxa"/>
            <w:gridSpan w:val="2"/>
            <w:tcBorders>
              <w:bottom w:val="single" w:sz="12" w:space="0" w:color="000000"/>
            </w:tcBorders>
            <w:tcMar>
              <w:top w:w="0" w:type="dxa"/>
              <w:left w:w="0" w:type="dxa"/>
              <w:bottom w:w="28" w:type="dxa"/>
            </w:tcMar>
            <w:vAlign w:val="bottom"/>
          </w:tcPr>
          <w:p>
            <w:pPr>
              <w:pStyle w:val="TableContents"/>
              <w:bidi w:val="0"/>
              <w:spacing w:before="0" w:after="0"/>
              <w:jc w:val="center"/>
              <w:rPr>
                <w:b/>
                <w:color w:val="000000"/>
              </w:rPr>
            </w:pPr>
            <w:r>
              <w:rPr>
                <w:b/>
                <w:color w:val="000000"/>
              </w:rPr>
              <w:t>Shares</w:t>
            </w:r>
          </w:p>
        </w:tc>
        <w:tc>
          <w:tcPr>
            <w:tcW w:w="60" w:type="dxa"/>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1120" w:type="dxa"/>
            <w:gridSpan w:val="2"/>
            <w:tcBorders>
              <w:bottom w:val="single" w:sz="12" w:space="0" w:color="000000"/>
            </w:tcBorders>
            <w:tcMar>
              <w:top w:w="0" w:type="dxa"/>
              <w:left w:w="0" w:type="dxa"/>
              <w:bottom w:w="28" w:type="dxa"/>
            </w:tcMar>
            <w:vAlign w:val="bottom"/>
          </w:tcPr>
          <w:p>
            <w:pPr>
              <w:pStyle w:val="TableContents"/>
              <w:bidi w:val="0"/>
              <w:spacing w:before="0" w:after="0"/>
              <w:jc w:val="center"/>
              <w:rPr>
                <w:b/>
                <w:color w:val="000000"/>
              </w:rPr>
            </w:pPr>
            <w:r>
              <w:rPr>
                <w:b/>
                <w:color w:val="000000"/>
              </w:rPr>
              <w:t>Amount</w:t>
            </w:r>
          </w:p>
        </w:tc>
        <w:tc>
          <w:tcPr>
            <w:tcW w:w="60" w:type="dxa"/>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60" w:type="dxa"/>
            <w:tcBorders>
              <w:left w:val="single" w:sz="12" w:space="0" w:color="000000"/>
              <w:bottom w:val="single" w:sz="12" w:space="0" w:color="000000"/>
            </w:tcBorders>
            <w:tcMar>
              <w:top w:w="0" w:type="dxa"/>
              <w:bottom w:w="28" w:type="dxa"/>
            </w:tcMar>
            <w:vAlign w:val="bottom"/>
          </w:tcPr>
          <w:p>
            <w:pPr>
              <w:pStyle w:val="TableContents"/>
              <w:bidi w:val="0"/>
              <w:spacing w:before="0" w:after="283"/>
              <w:jc w:val="left"/>
              <w:rPr/>
            </w:pPr>
            <w:r>
              <w:rPr/>
              <w:t> </w:t>
            </w:r>
          </w:p>
        </w:tc>
        <w:tc>
          <w:tcPr>
            <w:tcW w:w="1160" w:type="dxa"/>
            <w:gridSpan w:val="2"/>
            <w:tcBorders>
              <w:bottom w:val="single" w:sz="12" w:space="0" w:color="000000"/>
            </w:tcBorders>
            <w:tcMar>
              <w:top w:w="0" w:type="dxa"/>
              <w:left w:w="0" w:type="dxa"/>
              <w:bottom w:w="28" w:type="dxa"/>
            </w:tcMar>
            <w:vAlign w:val="bottom"/>
          </w:tcPr>
          <w:p>
            <w:pPr>
              <w:pStyle w:val="TableContents"/>
              <w:bidi w:val="0"/>
              <w:spacing w:before="0" w:after="0"/>
              <w:jc w:val="center"/>
              <w:rPr>
                <w:b/>
                <w:color w:val="000000"/>
              </w:rPr>
            </w:pPr>
            <w:r>
              <w:rPr>
                <w:b/>
                <w:color w:val="000000"/>
              </w:rPr>
              <w:t>Shares</w:t>
            </w:r>
          </w:p>
        </w:tc>
        <w:tc>
          <w:tcPr>
            <w:tcW w:w="60" w:type="dxa"/>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860" w:type="dxa"/>
            <w:gridSpan w:val="2"/>
            <w:tcBorders>
              <w:bottom w:val="single" w:sz="12" w:space="0" w:color="000000"/>
            </w:tcBorders>
            <w:tcMar>
              <w:top w:w="0" w:type="dxa"/>
              <w:left w:w="0" w:type="dxa"/>
              <w:bottom w:w="28" w:type="dxa"/>
            </w:tcMar>
            <w:vAlign w:val="bottom"/>
          </w:tcPr>
          <w:p>
            <w:pPr>
              <w:pStyle w:val="TableContents"/>
              <w:bidi w:val="0"/>
              <w:spacing w:before="0" w:after="0"/>
              <w:jc w:val="center"/>
              <w:rPr>
                <w:b/>
                <w:color w:val="000000"/>
              </w:rPr>
            </w:pPr>
            <w:r>
              <w:rPr>
                <w:b/>
                <w:color w:val="000000"/>
              </w:rPr>
              <w:t>Amount</w:t>
            </w:r>
          </w:p>
        </w:tc>
        <w:tc>
          <w:tcPr>
            <w:tcW w:w="60" w:type="dxa"/>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60" w:type="dxa"/>
            <w:vMerge w:val="continue"/>
            <w:tcBorders>
              <w:bottom w:val="single" w:sz="12" w:space="0" w:color="000000"/>
            </w:tcBorders>
            <w:tcMar>
              <w:top w:w="0" w:type="dxa"/>
              <w:left w:w="0" w:type="dxa"/>
              <w:bottom w:w="28" w:type="dxa"/>
            </w:tcMar>
            <w:vAlign w:val="bottom"/>
          </w:tcPr>
          <w:p>
            <w:pPr>
              <w:pStyle w:val="Normal"/>
              <w:bidi w:val="0"/>
              <w:jc w:val="left"/>
              <w:rPr/>
            </w:pPr>
            <w:r>
              <w:rPr/>
            </w:r>
          </w:p>
        </w:tc>
        <w:tc>
          <w:tcPr>
            <w:tcW w:w="1100" w:type="dxa"/>
            <w:gridSpan w:val="2"/>
            <w:vMerge w:val="continue"/>
            <w:tcBorders>
              <w:bottom w:val="single" w:sz="12" w:space="0" w:color="000000"/>
            </w:tcBorders>
            <w:tcMar>
              <w:top w:w="0" w:type="dxa"/>
              <w:left w:w="0" w:type="dxa"/>
              <w:bottom w:w="28" w:type="dxa"/>
            </w:tcMar>
            <w:vAlign w:val="bottom"/>
          </w:tcPr>
          <w:p>
            <w:pPr>
              <w:pStyle w:val="Normal"/>
              <w:bidi w:val="0"/>
              <w:jc w:val="left"/>
              <w:rPr/>
            </w:pPr>
            <w:r>
              <w:rPr/>
            </w:r>
          </w:p>
        </w:tc>
        <w:tc>
          <w:tcPr>
            <w:tcW w:w="60" w:type="dxa"/>
            <w:vMerge w:val="continue"/>
            <w:tcBorders>
              <w:bottom w:val="single" w:sz="12" w:space="0" w:color="000000"/>
            </w:tcBorders>
            <w:tcMar>
              <w:top w:w="0" w:type="dxa"/>
              <w:left w:w="0" w:type="dxa"/>
              <w:bottom w:w="28" w:type="dxa"/>
            </w:tcMar>
            <w:vAlign w:val="bottom"/>
          </w:tcPr>
          <w:p>
            <w:pPr>
              <w:pStyle w:val="Normal"/>
              <w:bidi w:val="0"/>
              <w:jc w:val="left"/>
              <w:rPr/>
            </w:pPr>
            <w:r>
              <w:rPr/>
            </w:r>
          </w:p>
        </w:tc>
        <w:tc>
          <w:tcPr>
            <w:tcW w:w="60" w:type="dxa"/>
            <w:vMerge w:val="continue"/>
            <w:tcBorders>
              <w:bottom w:val="single" w:sz="12" w:space="0" w:color="000000"/>
            </w:tcBorders>
            <w:tcMar>
              <w:top w:w="0" w:type="dxa"/>
              <w:left w:w="0" w:type="dxa"/>
              <w:bottom w:w="28" w:type="dxa"/>
            </w:tcMar>
            <w:vAlign w:val="bottom"/>
          </w:tcPr>
          <w:p>
            <w:pPr>
              <w:pStyle w:val="Normal"/>
              <w:bidi w:val="0"/>
              <w:jc w:val="left"/>
              <w:rPr/>
            </w:pPr>
            <w:r>
              <w:rPr/>
            </w:r>
          </w:p>
        </w:tc>
        <w:tc>
          <w:tcPr>
            <w:tcW w:w="965" w:type="dxa"/>
            <w:gridSpan w:val="2"/>
            <w:vMerge w:val="continue"/>
            <w:tcBorders>
              <w:bottom w:val="single" w:sz="12" w:space="0" w:color="000000"/>
            </w:tcBorders>
            <w:tcMar>
              <w:top w:w="0" w:type="dxa"/>
              <w:left w:w="0" w:type="dxa"/>
              <w:bottom w:w="28" w:type="dxa"/>
            </w:tcMar>
            <w:vAlign w:val="bottom"/>
          </w:tcPr>
          <w:p>
            <w:pPr>
              <w:pStyle w:val="Normal"/>
              <w:bidi w:val="0"/>
              <w:jc w:val="left"/>
              <w:rPr/>
            </w:pPr>
            <w:r>
              <w:rPr/>
            </w:r>
          </w:p>
        </w:tc>
        <w:tc>
          <w:tcPr>
            <w:tcW w:w="60" w:type="dxa"/>
            <w:vMerge w:val="continue"/>
            <w:tcBorders>
              <w:bottom w:val="single" w:sz="12" w:space="0" w:color="000000"/>
            </w:tcBorders>
            <w:tcMar>
              <w:top w:w="0" w:type="dxa"/>
              <w:left w:w="0" w:type="dxa"/>
              <w:bottom w:w="28" w:type="dxa"/>
            </w:tcMar>
            <w:vAlign w:val="bottom"/>
          </w:tcPr>
          <w:p>
            <w:pPr>
              <w:pStyle w:val="Normal"/>
              <w:bidi w:val="0"/>
              <w:jc w:val="left"/>
              <w:rPr/>
            </w:pPr>
            <w:r>
              <w:rPr/>
            </w:r>
          </w:p>
        </w:tc>
        <w:tc>
          <w:tcPr>
            <w:tcW w:w="60" w:type="dxa"/>
            <w:vMerge w:val="continue"/>
            <w:tcBorders>
              <w:bottom w:val="single" w:sz="12" w:space="0" w:color="000000"/>
            </w:tcBorders>
            <w:tcMar>
              <w:top w:w="0" w:type="dxa"/>
              <w:left w:w="0" w:type="dxa"/>
              <w:bottom w:w="28" w:type="dxa"/>
            </w:tcMar>
            <w:vAlign w:val="bottom"/>
          </w:tcPr>
          <w:p>
            <w:pPr>
              <w:pStyle w:val="Normal"/>
              <w:bidi w:val="0"/>
              <w:jc w:val="left"/>
              <w:rPr/>
            </w:pPr>
            <w:r>
              <w:rPr/>
            </w:r>
          </w:p>
        </w:tc>
        <w:tc>
          <w:tcPr>
            <w:tcW w:w="1610" w:type="dxa"/>
            <w:gridSpan w:val="2"/>
            <w:vMerge w:val="continue"/>
            <w:tcBorders>
              <w:bottom w:val="single" w:sz="12" w:space="0" w:color="000000"/>
            </w:tcBorders>
            <w:tcMar>
              <w:top w:w="0" w:type="dxa"/>
              <w:left w:w="0" w:type="dxa"/>
              <w:bottom w:w="28" w:type="dxa"/>
            </w:tcMar>
            <w:vAlign w:val="bottom"/>
          </w:tcPr>
          <w:p>
            <w:pPr>
              <w:pStyle w:val="Normal"/>
              <w:bidi w:val="0"/>
              <w:jc w:val="left"/>
              <w:rPr/>
            </w:pPr>
            <w:r>
              <w:rPr/>
            </w:r>
          </w:p>
        </w:tc>
        <w:tc>
          <w:tcPr>
            <w:tcW w:w="95" w:type="dxa"/>
            <w:vMerge w:val="continue"/>
            <w:tcBorders>
              <w:bottom w:val="single" w:sz="12" w:space="0" w:color="000000"/>
            </w:tcBorders>
            <w:tcMar>
              <w:top w:w="0" w:type="dxa"/>
              <w:left w:w="0" w:type="dxa"/>
              <w:bottom w:w="28" w:type="dxa"/>
            </w:tcMar>
            <w:vAlign w:val="bottom"/>
          </w:tcPr>
          <w:p>
            <w:pPr>
              <w:pStyle w:val="Normal"/>
              <w:bidi w:val="0"/>
              <w:jc w:val="left"/>
              <w:rPr/>
            </w:pPr>
            <w:r>
              <w:rPr/>
            </w:r>
          </w:p>
        </w:tc>
        <w:tc>
          <w:tcPr>
            <w:tcW w:w="60" w:type="dxa"/>
            <w:vMerge w:val="continue"/>
            <w:tcBorders>
              <w:bottom w:val="single" w:sz="12" w:space="0" w:color="000000"/>
            </w:tcBorders>
            <w:tcMar>
              <w:top w:w="0" w:type="dxa"/>
              <w:left w:w="0" w:type="dxa"/>
              <w:bottom w:w="28" w:type="dxa"/>
            </w:tcMar>
            <w:vAlign w:val="bottom"/>
          </w:tcPr>
          <w:p>
            <w:pPr>
              <w:pStyle w:val="Normal"/>
              <w:bidi w:val="0"/>
              <w:jc w:val="left"/>
              <w:rPr/>
            </w:pPr>
            <w:r>
              <w:rPr/>
            </w:r>
          </w:p>
        </w:tc>
        <w:tc>
          <w:tcPr>
            <w:tcW w:w="1370" w:type="dxa"/>
            <w:gridSpan w:val="2"/>
            <w:vMerge w:val="continue"/>
            <w:tcBorders>
              <w:bottom w:val="single" w:sz="12" w:space="0" w:color="000000"/>
            </w:tcBorders>
            <w:tcMar>
              <w:top w:w="0" w:type="dxa"/>
              <w:left w:w="0" w:type="dxa"/>
              <w:bottom w:w="28" w:type="dxa"/>
            </w:tcMar>
            <w:vAlign w:val="bottom"/>
          </w:tcPr>
          <w:p>
            <w:pPr>
              <w:pStyle w:val="Normal"/>
              <w:bidi w:val="0"/>
              <w:jc w:val="left"/>
              <w:rPr/>
            </w:pPr>
            <w:r>
              <w:rPr/>
            </w:r>
          </w:p>
        </w:tc>
        <w:tc>
          <w:tcPr>
            <w:tcW w:w="95" w:type="dxa"/>
            <w:vMerge w:val="continue"/>
            <w:tcBorders>
              <w:bottom w:val="single" w:sz="12" w:space="0" w:color="000000"/>
            </w:tcBorders>
            <w:tcMar>
              <w:top w:w="0" w:type="dxa"/>
              <w:left w:w="0" w:type="dxa"/>
              <w:bottom w:w="28" w:type="dxa"/>
            </w:tcMar>
            <w:vAlign w:val="bottom"/>
          </w:tcPr>
          <w:p>
            <w:pPr>
              <w:pStyle w:val="Normal"/>
              <w:bidi w:val="0"/>
              <w:jc w:val="left"/>
              <w:rPr/>
            </w:pPr>
            <w:r>
              <w:rPr/>
            </w:r>
          </w:p>
        </w:tc>
        <w:tc>
          <w:tcPr>
            <w:tcW w:w="60" w:type="dxa"/>
            <w:vMerge w:val="continue"/>
            <w:tcBorders>
              <w:bottom w:val="single" w:sz="12" w:space="0" w:color="000000"/>
            </w:tcBorders>
            <w:tcMar>
              <w:top w:w="0" w:type="dxa"/>
              <w:left w:w="0" w:type="dxa"/>
              <w:bottom w:w="28" w:type="dxa"/>
            </w:tcMar>
            <w:vAlign w:val="bottom"/>
          </w:tcPr>
          <w:p>
            <w:pPr>
              <w:pStyle w:val="Normal"/>
              <w:bidi w:val="0"/>
              <w:jc w:val="left"/>
              <w:rPr/>
            </w:pPr>
            <w:r>
              <w:rPr/>
            </w:r>
          </w:p>
        </w:tc>
        <w:tc>
          <w:tcPr>
            <w:tcW w:w="1340" w:type="dxa"/>
            <w:gridSpan w:val="2"/>
            <w:vMerge w:val="continue"/>
            <w:tcBorders>
              <w:bottom w:val="single" w:sz="12" w:space="0" w:color="000000"/>
            </w:tcBorders>
            <w:tcMar>
              <w:top w:w="0" w:type="dxa"/>
              <w:left w:w="0" w:type="dxa"/>
              <w:bottom w:w="28" w:type="dxa"/>
            </w:tcMar>
            <w:vAlign w:val="bottom"/>
          </w:tcPr>
          <w:p>
            <w:pPr>
              <w:pStyle w:val="Normal"/>
              <w:bidi w:val="0"/>
              <w:jc w:val="left"/>
              <w:rPr/>
            </w:pPr>
            <w:r>
              <w:rPr/>
            </w:r>
          </w:p>
        </w:tc>
        <w:tc>
          <w:tcPr>
            <w:tcW w:w="95" w:type="dxa"/>
            <w:vMerge w:val="continue"/>
            <w:tcBorders>
              <w:bottom w:val="single" w:sz="12" w:space="0" w:color="000000"/>
              <w:right w:val="single" w:sz="12" w:space="0" w:color="000000"/>
            </w:tcBorders>
            <w:tcMar>
              <w:top w:w="0" w:type="dxa"/>
              <w:left w:w="0" w:type="dxa"/>
              <w:bottom w:w="28" w:type="dxa"/>
              <w:right w:w="28" w:type="dxa"/>
            </w:tcMar>
            <w:vAlign w:val="bottom"/>
          </w:tcPr>
          <w:p>
            <w:pPr>
              <w:pStyle w:val="Normal"/>
              <w:bidi w:val="0"/>
              <w:jc w:val="left"/>
              <w:rPr/>
            </w:pPr>
            <w:r>
              <w:rPr/>
            </w:r>
          </w:p>
        </w:tc>
      </w:tr>
      <w:tr>
        <w:trPr/>
        <w:tc>
          <w:tcPr>
            <w:tcW w:w="4370" w:type="dxa"/>
            <w:tcBorders>
              <w:left w:val="single" w:sz="12" w:space="0" w:color="000000"/>
            </w:tcBorders>
            <w:shd w:fill="CCEEFF" w:val="clear"/>
            <w:tcMar>
              <w:top w:w="0" w:type="dxa"/>
            </w:tcMar>
            <w:vAlign w:val="bottom"/>
          </w:tcPr>
          <w:p>
            <w:pPr>
              <w:pStyle w:val="TableContents"/>
              <w:bidi w:val="0"/>
              <w:spacing w:before="0" w:after="0"/>
              <w:ind w:left="144" w:right="0" w:hanging="144"/>
              <w:jc w:val="left"/>
              <w:rPr>
                <w:b/>
                <w:color w:val="000000"/>
              </w:rPr>
            </w:pPr>
            <w:r>
              <w:rPr>
                <w:b/>
                <w:color w:val="000000"/>
              </w:rPr>
              <w:t>Balance as of December 31, 2025</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1220" w:type="dxa"/>
            <w:tcBorders/>
            <w:shd w:fill="CCEEFF" w:val="clear"/>
            <w:tcMar>
              <w:top w:w="0" w:type="dxa"/>
              <w:left w:w="0" w:type="dxa"/>
            </w:tcMar>
            <w:vAlign w:val="bottom"/>
          </w:tcPr>
          <w:p>
            <w:pPr>
              <w:pStyle w:val="TableContents"/>
              <w:bidi w:val="0"/>
              <w:spacing w:before="0" w:after="0"/>
              <w:jc w:val="right"/>
              <w:rPr>
                <w:color w:val="000000"/>
              </w:rPr>
            </w:pPr>
            <w:r>
              <w:rPr>
                <w:color w:val="000000"/>
              </w:rPr>
              <w:t>212,541,832</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140" w:type="dxa"/>
            <w:tcBorders/>
            <w:shd w:fill="CCEEFF" w:val="clear"/>
            <w:tcMar>
              <w:top w:w="0" w:type="dxa"/>
              <w:left w:w="0" w:type="dxa"/>
            </w:tcMar>
            <w:vAlign w:val="bottom"/>
          </w:tcPr>
          <w:p>
            <w:pPr>
              <w:pStyle w:val="TableContents"/>
              <w:bidi w:val="0"/>
              <w:spacing w:before="0" w:after="0"/>
              <w:jc w:val="left"/>
              <w:rPr>
                <w:color w:val="000000"/>
              </w:rPr>
            </w:pPr>
            <w:r>
              <w:rPr>
                <w:color w:val="000000"/>
              </w:rPr>
              <w:t>$</w:t>
            </w:r>
          </w:p>
        </w:tc>
        <w:tc>
          <w:tcPr>
            <w:tcW w:w="980" w:type="dxa"/>
            <w:tcBorders/>
            <w:shd w:fill="CCEEFF" w:val="clear"/>
            <w:tcMar>
              <w:top w:w="0" w:type="dxa"/>
              <w:left w:w="0" w:type="dxa"/>
            </w:tcMar>
            <w:vAlign w:val="bottom"/>
          </w:tcPr>
          <w:p>
            <w:pPr>
              <w:pStyle w:val="TableContents"/>
              <w:bidi w:val="0"/>
              <w:spacing w:before="0" w:after="0"/>
              <w:jc w:val="right"/>
              <w:rPr>
                <w:color w:val="000000"/>
              </w:rPr>
            </w:pPr>
            <w:r>
              <w:rPr>
                <w:color w:val="000000"/>
              </w:rPr>
              <w:t>1,363,580</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left w:val="single" w:sz="12" w:space="0" w:color="000000"/>
            </w:tcBorders>
            <w:shd w:fill="CCEEFF" w:val="clear"/>
            <w:tcMar>
              <w:top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1100" w:type="dxa"/>
            <w:tcBorders/>
            <w:shd w:fill="CCEEFF" w:val="clear"/>
            <w:tcMar>
              <w:top w:w="0" w:type="dxa"/>
              <w:left w:w="0" w:type="dxa"/>
            </w:tcMar>
            <w:vAlign w:val="bottom"/>
          </w:tcPr>
          <w:p>
            <w:pPr>
              <w:pStyle w:val="TableContents"/>
              <w:bidi w:val="0"/>
              <w:spacing w:before="0" w:after="0"/>
              <w:jc w:val="right"/>
              <w:rPr>
                <w:color w:val="000000"/>
              </w:rPr>
            </w:pPr>
            <w:r>
              <w:rPr>
                <w:color w:val="000000"/>
              </w:rPr>
              <w:t>26,267,598</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301" w:type="dxa"/>
            <w:tcBorders/>
            <w:shd w:fill="CCEEFF" w:val="clear"/>
            <w:tcMar>
              <w:top w:w="0" w:type="dxa"/>
              <w:left w:w="0" w:type="dxa"/>
            </w:tcMar>
            <w:vAlign w:val="bottom"/>
          </w:tcPr>
          <w:p>
            <w:pPr>
              <w:pStyle w:val="TableContents"/>
              <w:bidi w:val="0"/>
              <w:spacing w:before="0" w:after="0"/>
              <w:jc w:val="left"/>
              <w:rPr>
                <w:color w:val="000000"/>
              </w:rPr>
            </w:pPr>
            <w:r>
              <w:rPr>
                <w:color w:val="000000"/>
              </w:rPr>
              <w:t>$</w:t>
            </w:r>
          </w:p>
        </w:tc>
        <w:tc>
          <w:tcPr>
            <w:tcW w:w="559" w:type="dxa"/>
            <w:tcBorders/>
            <w:shd w:fill="CCEEFF" w:val="clear"/>
            <w:tcMar>
              <w:top w:w="0" w:type="dxa"/>
              <w:left w:w="0" w:type="dxa"/>
            </w:tcMar>
            <w:vAlign w:val="bottom"/>
          </w:tcPr>
          <w:p>
            <w:pPr>
              <w:pStyle w:val="TableContents"/>
              <w:bidi w:val="0"/>
              <w:spacing w:before="0" w:after="0"/>
              <w:jc w:val="right"/>
              <w:rPr>
                <w:color w:val="000000"/>
              </w:rPr>
            </w:pPr>
            <w:r>
              <w:rPr>
                <w:color w:val="000000"/>
              </w:rPr>
              <w:t>3</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187" w:type="dxa"/>
            <w:tcBorders/>
            <w:shd w:fill="CCEEFF" w:val="clear"/>
            <w:tcMar>
              <w:top w:w="0" w:type="dxa"/>
              <w:left w:w="0" w:type="dxa"/>
            </w:tcMar>
            <w:vAlign w:val="bottom"/>
          </w:tcPr>
          <w:p>
            <w:pPr>
              <w:pStyle w:val="TableContents"/>
              <w:bidi w:val="0"/>
              <w:spacing w:before="0" w:after="0"/>
              <w:jc w:val="left"/>
              <w:rPr>
                <w:color w:val="000000"/>
              </w:rPr>
            </w:pPr>
            <w:r>
              <w:rPr>
                <w:color w:val="000000"/>
              </w:rPr>
              <w:t>$</w:t>
            </w:r>
          </w:p>
        </w:tc>
        <w:tc>
          <w:tcPr>
            <w:tcW w:w="913" w:type="dxa"/>
            <w:tcBorders/>
            <w:shd w:fill="CCEEFF" w:val="clear"/>
            <w:tcMar>
              <w:top w:w="0" w:type="dxa"/>
              <w:left w:w="0" w:type="dxa"/>
            </w:tcMar>
            <w:vAlign w:val="bottom"/>
          </w:tcPr>
          <w:p>
            <w:pPr>
              <w:pStyle w:val="TableContents"/>
              <w:bidi w:val="0"/>
              <w:spacing w:before="0" w:after="0"/>
              <w:jc w:val="right"/>
              <w:rPr>
                <w:color w:val="000000"/>
              </w:rPr>
            </w:pPr>
            <w:r>
              <w:rPr>
                <w:color w:val="000000"/>
              </w:rPr>
              <w:t>83,834</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337" w:type="dxa"/>
            <w:tcBorders/>
            <w:shd w:fill="CCEEFF" w:val="clear"/>
            <w:tcMar>
              <w:top w:w="0" w:type="dxa"/>
              <w:left w:w="0" w:type="dxa"/>
            </w:tcMar>
            <w:vAlign w:val="bottom"/>
          </w:tcPr>
          <w:p>
            <w:pPr>
              <w:pStyle w:val="TableContents"/>
              <w:bidi w:val="0"/>
              <w:spacing w:before="0" w:after="0"/>
              <w:jc w:val="left"/>
              <w:rPr>
                <w:color w:val="000000"/>
              </w:rPr>
            </w:pPr>
            <w:r>
              <w:rPr>
                <w:color w:val="000000"/>
              </w:rPr>
              <w:t>$</w:t>
            </w:r>
          </w:p>
        </w:tc>
        <w:tc>
          <w:tcPr>
            <w:tcW w:w="628" w:type="dxa"/>
            <w:tcBorders/>
            <w:shd w:fill="CCEEFF" w:val="clear"/>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433" w:type="dxa"/>
            <w:tcBorders/>
            <w:shd w:fill="CCEEFF" w:val="clear"/>
            <w:tcMar>
              <w:top w:w="0" w:type="dxa"/>
              <w:left w:w="0" w:type="dxa"/>
            </w:tcMar>
            <w:vAlign w:val="bottom"/>
          </w:tcPr>
          <w:p>
            <w:pPr>
              <w:pStyle w:val="TableContents"/>
              <w:bidi w:val="0"/>
              <w:spacing w:before="0" w:after="0"/>
              <w:jc w:val="left"/>
              <w:rPr>
                <w:color w:val="000000"/>
              </w:rPr>
            </w:pPr>
            <w:r>
              <w:rPr>
                <w:color w:val="000000"/>
              </w:rPr>
              <w:t>$</w:t>
            </w:r>
          </w:p>
        </w:tc>
        <w:tc>
          <w:tcPr>
            <w:tcW w:w="1177" w:type="dxa"/>
            <w:tcBorders/>
            <w:shd w:fill="CCEEFF" w:val="clear"/>
            <w:tcMar>
              <w:top w:w="0" w:type="dxa"/>
              <w:left w:w="0" w:type="dxa"/>
            </w:tcMar>
            <w:vAlign w:val="bottom"/>
          </w:tcPr>
          <w:p>
            <w:pPr>
              <w:pStyle w:val="TableContents"/>
              <w:bidi w:val="0"/>
              <w:spacing w:before="0" w:after="0"/>
              <w:jc w:val="right"/>
              <w:rPr>
                <w:color w:val="000000"/>
              </w:rPr>
            </w:pPr>
            <w:r>
              <w:rPr>
                <w:color w:val="000000"/>
              </w:rPr>
              <w:t>132</w:t>
            </w:r>
          </w:p>
        </w:tc>
        <w:tc>
          <w:tcPr>
            <w:tcW w:w="95"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160" w:type="dxa"/>
            <w:tcBorders/>
            <w:shd w:fill="CCEEFF" w:val="clear"/>
            <w:tcMar>
              <w:top w:w="0" w:type="dxa"/>
              <w:left w:w="0" w:type="dxa"/>
            </w:tcMar>
            <w:vAlign w:val="bottom"/>
          </w:tcPr>
          <w:p>
            <w:pPr>
              <w:pStyle w:val="TableContents"/>
              <w:bidi w:val="0"/>
              <w:spacing w:before="0" w:after="0"/>
              <w:jc w:val="left"/>
              <w:rPr>
                <w:color w:val="000000"/>
              </w:rPr>
            </w:pPr>
            <w:r>
              <w:rPr>
                <w:color w:val="000000"/>
              </w:rPr>
              <w:t>$</w:t>
            </w:r>
          </w:p>
        </w:tc>
        <w:tc>
          <w:tcPr>
            <w:tcW w:w="1210" w:type="dxa"/>
            <w:tcBorders/>
            <w:shd w:fill="CCEEFF" w:val="clear"/>
            <w:tcMar>
              <w:top w:w="0" w:type="dxa"/>
              <w:left w:w="0" w:type="dxa"/>
            </w:tcMar>
            <w:vAlign w:val="bottom"/>
          </w:tcPr>
          <w:p>
            <w:pPr>
              <w:pStyle w:val="TableContents"/>
              <w:bidi w:val="0"/>
              <w:spacing w:before="0" w:after="0"/>
              <w:jc w:val="right"/>
              <w:rPr>
                <w:color w:val="000000"/>
              </w:rPr>
            </w:pPr>
            <w:r>
              <w:rPr>
                <w:color w:val="000000"/>
              </w:rPr>
              <w:t>(1,347,105</w:t>
            </w:r>
          </w:p>
        </w:tc>
        <w:tc>
          <w:tcPr>
            <w:tcW w:w="95" w:type="dxa"/>
            <w:tcBorders/>
            <w:shd w:fill="CCEEFF" w:val="clear"/>
            <w:tcMar>
              <w:top w:w="0" w:type="dxa"/>
              <w:left w:w="0" w:type="dxa"/>
            </w:tcMar>
            <w:vAlign w:val="bottom"/>
          </w:tcPr>
          <w:p>
            <w:pPr>
              <w:pStyle w:val="TableContents"/>
              <w:bidi w:val="0"/>
              <w:spacing w:before="0" w:after="0"/>
              <w:jc w:val="left"/>
              <w:rPr>
                <w:color w:val="000000"/>
              </w:rPr>
            </w:pPr>
            <w:r>
              <w:rPr>
                <w:color w:val="000000"/>
              </w:rPr>
              <w:t>)</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156" w:type="dxa"/>
            <w:tcBorders/>
            <w:shd w:fill="CCEEFF" w:val="clear"/>
            <w:tcMar>
              <w:top w:w="0" w:type="dxa"/>
              <w:left w:w="0" w:type="dxa"/>
            </w:tcMar>
            <w:vAlign w:val="bottom"/>
          </w:tcPr>
          <w:p>
            <w:pPr>
              <w:pStyle w:val="TableContents"/>
              <w:bidi w:val="0"/>
              <w:spacing w:before="0" w:after="0"/>
              <w:jc w:val="left"/>
              <w:rPr>
                <w:color w:val="000000"/>
              </w:rPr>
            </w:pPr>
            <w:r>
              <w:rPr>
                <w:color w:val="000000"/>
              </w:rPr>
              <w:t>$</w:t>
            </w:r>
          </w:p>
        </w:tc>
        <w:tc>
          <w:tcPr>
            <w:tcW w:w="1184" w:type="dxa"/>
            <w:tcBorders/>
            <w:shd w:fill="CCEEFF" w:val="clear"/>
            <w:tcMar>
              <w:top w:w="0" w:type="dxa"/>
              <w:left w:w="0" w:type="dxa"/>
            </w:tcMar>
            <w:vAlign w:val="bottom"/>
          </w:tcPr>
          <w:p>
            <w:pPr>
              <w:pStyle w:val="TableContents"/>
              <w:bidi w:val="0"/>
              <w:spacing w:before="0" w:after="0"/>
              <w:jc w:val="right"/>
              <w:rPr>
                <w:color w:val="000000"/>
              </w:rPr>
            </w:pPr>
            <w:r>
              <w:rPr>
                <w:color w:val="000000"/>
              </w:rPr>
              <w:t>(1,263,136</w:t>
            </w:r>
          </w:p>
        </w:tc>
        <w:tc>
          <w:tcPr>
            <w:tcW w:w="95" w:type="dxa"/>
            <w:tcBorders>
              <w:right w:val="single" w:sz="12" w:space="0" w:color="000000"/>
            </w:tcBorders>
            <w:shd w:fill="CCEEFF" w:val="clear"/>
            <w:tcMar>
              <w:top w:w="0" w:type="dxa"/>
              <w:left w:w="0" w:type="dxa"/>
              <w:right w:w="28" w:type="dxa"/>
            </w:tcMar>
            <w:vAlign w:val="bottom"/>
          </w:tcPr>
          <w:p>
            <w:pPr>
              <w:pStyle w:val="TableContents"/>
              <w:bidi w:val="0"/>
              <w:spacing w:before="0" w:after="0"/>
              <w:jc w:val="left"/>
              <w:rPr>
                <w:color w:val="000000"/>
              </w:rPr>
            </w:pPr>
            <w:r>
              <w:rPr>
                <w:color w:val="000000"/>
              </w:rPr>
              <w:t>)</w:t>
            </w:r>
          </w:p>
        </w:tc>
      </w:tr>
      <w:tr>
        <w:trPr/>
        <w:tc>
          <w:tcPr>
            <w:tcW w:w="4370" w:type="dxa"/>
            <w:tcBorders>
              <w:left w:val="single" w:sz="12" w:space="0" w:color="000000"/>
            </w:tcBorders>
            <w:tcMar>
              <w:top w:w="0" w:type="dxa"/>
            </w:tcMar>
            <w:vAlign w:val="bottom"/>
          </w:tcPr>
          <w:p>
            <w:pPr>
              <w:pStyle w:val="TableContents"/>
              <w:bidi w:val="0"/>
              <w:spacing w:before="0" w:after="0"/>
              <w:ind w:left="144" w:right="0" w:hanging="144"/>
              <w:jc w:val="left"/>
              <w:rPr>
                <w:color w:val="000000"/>
              </w:rPr>
            </w:pPr>
            <w:r>
              <w:rPr>
                <w:color w:val="000000"/>
              </w:rPr>
              <w:t>Stock-based compensation expense</w:t>
            </w:r>
          </w:p>
        </w:tc>
        <w:tc>
          <w:tcPr>
            <w:tcW w:w="60" w:type="dxa"/>
            <w:tcBorders/>
            <w:tcMar>
              <w:top w:w="0" w:type="dxa"/>
              <w:left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1220" w:type="dxa"/>
            <w:tcBorders/>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tcMar>
              <w:top w:w="0" w:type="dxa"/>
              <w:left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140" w:type="dxa"/>
            <w:tcBorders/>
            <w:tcMar>
              <w:top w:w="0" w:type="dxa"/>
              <w:left w:w="0" w:type="dxa"/>
            </w:tcMar>
            <w:vAlign w:val="bottom"/>
          </w:tcPr>
          <w:p>
            <w:pPr>
              <w:pStyle w:val="TableContents"/>
              <w:bidi w:val="0"/>
              <w:spacing w:before="0" w:after="283"/>
              <w:jc w:val="left"/>
              <w:rPr/>
            </w:pPr>
            <w:r>
              <w:rPr/>
              <w:t> </w:t>
            </w:r>
          </w:p>
        </w:tc>
        <w:tc>
          <w:tcPr>
            <w:tcW w:w="980" w:type="dxa"/>
            <w:tcBorders/>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tcMar>
              <w:top w:w="0" w:type="dxa"/>
              <w:left w:w="0" w:type="dxa"/>
            </w:tcMar>
            <w:vAlign w:val="bottom"/>
          </w:tcPr>
          <w:p>
            <w:pPr>
              <w:pStyle w:val="TableContents"/>
              <w:bidi w:val="0"/>
              <w:spacing w:before="0" w:after="283"/>
              <w:jc w:val="left"/>
              <w:rPr/>
            </w:pPr>
            <w:r>
              <w:rPr/>
              <w:t> </w:t>
            </w:r>
          </w:p>
        </w:tc>
        <w:tc>
          <w:tcPr>
            <w:tcW w:w="60" w:type="dxa"/>
            <w:tcBorders>
              <w:left w:val="single" w:sz="12" w:space="0" w:color="000000"/>
            </w:tcBorders>
            <w:tcMar>
              <w:top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1100" w:type="dxa"/>
            <w:tcBorders/>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tcMar>
              <w:top w:w="0" w:type="dxa"/>
              <w:left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301" w:type="dxa"/>
            <w:tcBorders/>
            <w:tcMar>
              <w:top w:w="0" w:type="dxa"/>
              <w:left w:w="0" w:type="dxa"/>
            </w:tcMar>
            <w:vAlign w:val="bottom"/>
          </w:tcPr>
          <w:p>
            <w:pPr>
              <w:pStyle w:val="TableContents"/>
              <w:bidi w:val="0"/>
              <w:spacing w:before="0" w:after="283"/>
              <w:jc w:val="left"/>
              <w:rPr/>
            </w:pPr>
            <w:r>
              <w:rPr/>
              <w:t> </w:t>
            </w:r>
          </w:p>
        </w:tc>
        <w:tc>
          <w:tcPr>
            <w:tcW w:w="559" w:type="dxa"/>
            <w:tcBorders/>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tcMar>
              <w:top w:w="0" w:type="dxa"/>
              <w:left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187" w:type="dxa"/>
            <w:tcBorders/>
            <w:tcMar>
              <w:top w:w="0" w:type="dxa"/>
              <w:left w:w="0" w:type="dxa"/>
            </w:tcMar>
            <w:vAlign w:val="bottom"/>
          </w:tcPr>
          <w:p>
            <w:pPr>
              <w:pStyle w:val="TableContents"/>
              <w:bidi w:val="0"/>
              <w:spacing w:before="0" w:after="283"/>
              <w:jc w:val="left"/>
              <w:rPr/>
            </w:pPr>
            <w:r>
              <w:rPr/>
              <w:t> </w:t>
            </w:r>
          </w:p>
        </w:tc>
        <w:tc>
          <w:tcPr>
            <w:tcW w:w="913" w:type="dxa"/>
            <w:tcBorders/>
            <w:tcMar>
              <w:top w:w="0" w:type="dxa"/>
              <w:left w:w="0" w:type="dxa"/>
            </w:tcMar>
            <w:vAlign w:val="bottom"/>
          </w:tcPr>
          <w:p>
            <w:pPr>
              <w:pStyle w:val="TableContents"/>
              <w:bidi w:val="0"/>
              <w:spacing w:before="0" w:after="0"/>
              <w:jc w:val="right"/>
              <w:rPr>
                <w:color w:val="000000"/>
              </w:rPr>
            </w:pPr>
            <w:r>
              <w:rPr>
                <w:color w:val="000000"/>
              </w:rPr>
              <w:t>5,637</w:t>
            </w:r>
          </w:p>
        </w:tc>
        <w:tc>
          <w:tcPr>
            <w:tcW w:w="60" w:type="dxa"/>
            <w:tcBorders/>
            <w:tcMar>
              <w:top w:w="0" w:type="dxa"/>
              <w:left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337" w:type="dxa"/>
            <w:tcBorders/>
            <w:tcMar>
              <w:top w:w="0" w:type="dxa"/>
              <w:left w:w="0" w:type="dxa"/>
            </w:tcMar>
            <w:vAlign w:val="bottom"/>
          </w:tcPr>
          <w:p>
            <w:pPr>
              <w:pStyle w:val="TableContents"/>
              <w:bidi w:val="0"/>
              <w:spacing w:before="0" w:after="283"/>
              <w:jc w:val="left"/>
              <w:rPr/>
            </w:pPr>
            <w:r>
              <w:rPr/>
              <w:t> </w:t>
            </w:r>
          </w:p>
        </w:tc>
        <w:tc>
          <w:tcPr>
            <w:tcW w:w="628" w:type="dxa"/>
            <w:tcBorders/>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tcMar>
              <w:top w:w="0" w:type="dxa"/>
              <w:left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433" w:type="dxa"/>
            <w:tcBorders/>
            <w:tcMar>
              <w:top w:w="0" w:type="dxa"/>
              <w:left w:w="0" w:type="dxa"/>
            </w:tcMar>
            <w:vAlign w:val="bottom"/>
          </w:tcPr>
          <w:p>
            <w:pPr>
              <w:pStyle w:val="TableContents"/>
              <w:bidi w:val="0"/>
              <w:spacing w:before="0" w:after="283"/>
              <w:jc w:val="left"/>
              <w:rPr/>
            </w:pPr>
            <w:r>
              <w:rPr/>
              <w:t> </w:t>
            </w:r>
          </w:p>
        </w:tc>
        <w:tc>
          <w:tcPr>
            <w:tcW w:w="1177" w:type="dxa"/>
            <w:tcBorders/>
            <w:tcMar>
              <w:top w:w="0" w:type="dxa"/>
              <w:left w:w="0" w:type="dxa"/>
            </w:tcMar>
            <w:vAlign w:val="bottom"/>
          </w:tcPr>
          <w:p>
            <w:pPr>
              <w:pStyle w:val="TableContents"/>
              <w:bidi w:val="0"/>
              <w:spacing w:before="0" w:after="0"/>
              <w:jc w:val="right"/>
              <w:rPr>
                <w:color w:val="000000"/>
              </w:rPr>
            </w:pPr>
            <w:r>
              <w:rPr>
                <w:color w:val="000000"/>
              </w:rPr>
              <w:t>—</w:t>
            </w:r>
          </w:p>
        </w:tc>
        <w:tc>
          <w:tcPr>
            <w:tcW w:w="95" w:type="dxa"/>
            <w:tcBorders/>
            <w:tcMar>
              <w:top w:w="0" w:type="dxa"/>
              <w:left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160" w:type="dxa"/>
            <w:tcBorders/>
            <w:tcMar>
              <w:top w:w="0" w:type="dxa"/>
              <w:left w:w="0" w:type="dxa"/>
            </w:tcMar>
            <w:vAlign w:val="bottom"/>
          </w:tcPr>
          <w:p>
            <w:pPr>
              <w:pStyle w:val="TableContents"/>
              <w:bidi w:val="0"/>
              <w:spacing w:before="0" w:after="283"/>
              <w:jc w:val="left"/>
              <w:rPr/>
            </w:pPr>
            <w:r>
              <w:rPr/>
              <w:t> </w:t>
            </w:r>
          </w:p>
        </w:tc>
        <w:tc>
          <w:tcPr>
            <w:tcW w:w="1210" w:type="dxa"/>
            <w:tcBorders/>
            <w:tcMar>
              <w:top w:w="0" w:type="dxa"/>
              <w:left w:w="0" w:type="dxa"/>
            </w:tcMar>
            <w:vAlign w:val="bottom"/>
          </w:tcPr>
          <w:p>
            <w:pPr>
              <w:pStyle w:val="TableContents"/>
              <w:bidi w:val="0"/>
              <w:spacing w:before="0" w:after="0"/>
              <w:jc w:val="right"/>
              <w:rPr>
                <w:color w:val="000000"/>
              </w:rPr>
            </w:pPr>
            <w:r>
              <w:rPr>
                <w:color w:val="000000"/>
              </w:rPr>
              <w:t>—</w:t>
            </w:r>
          </w:p>
        </w:tc>
        <w:tc>
          <w:tcPr>
            <w:tcW w:w="95" w:type="dxa"/>
            <w:tcBorders/>
            <w:tcMar>
              <w:top w:w="0" w:type="dxa"/>
              <w:left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156" w:type="dxa"/>
            <w:tcBorders/>
            <w:tcMar>
              <w:top w:w="0" w:type="dxa"/>
              <w:left w:w="0" w:type="dxa"/>
            </w:tcMar>
            <w:vAlign w:val="bottom"/>
          </w:tcPr>
          <w:p>
            <w:pPr>
              <w:pStyle w:val="TableContents"/>
              <w:bidi w:val="0"/>
              <w:spacing w:before="0" w:after="283"/>
              <w:jc w:val="left"/>
              <w:rPr/>
            </w:pPr>
            <w:r>
              <w:rPr/>
              <w:t> </w:t>
            </w:r>
          </w:p>
        </w:tc>
        <w:tc>
          <w:tcPr>
            <w:tcW w:w="1184" w:type="dxa"/>
            <w:tcBorders/>
            <w:tcMar>
              <w:top w:w="0" w:type="dxa"/>
              <w:left w:w="0" w:type="dxa"/>
            </w:tcMar>
            <w:vAlign w:val="bottom"/>
          </w:tcPr>
          <w:p>
            <w:pPr>
              <w:pStyle w:val="TableContents"/>
              <w:bidi w:val="0"/>
              <w:spacing w:before="0" w:after="0"/>
              <w:jc w:val="right"/>
              <w:rPr>
                <w:color w:val="000000"/>
              </w:rPr>
            </w:pPr>
            <w:r>
              <w:rPr>
                <w:color w:val="000000"/>
              </w:rPr>
              <w:t>5,637</w:t>
            </w:r>
          </w:p>
        </w:tc>
        <w:tc>
          <w:tcPr>
            <w:tcW w:w="95" w:type="dxa"/>
            <w:tcBorders>
              <w:right w:val="single" w:sz="12" w:space="0" w:color="000000"/>
            </w:tcBorders>
            <w:tcMar>
              <w:top w:w="0" w:type="dxa"/>
              <w:left w:w="0" w:type="dxa"/>
              <w:right w:w="28" w:type="dxa"/>
            </w:tcMar>
            <w:vAlign w:val="bottom"/>
          </w:tcPr>
          <w:p>
            <w:pPr>
              <w:pStyle w:val="TableContents"/>
              <w:bidi w:val="0"/>
              <w:spacing w:before="0" w:after="283"/>
              <w:jc w:val="left"/>
              <w:rPr/>
            </w:pPr>
            <w:r>
              <w:rPr/>
              <w:t> </w:t>
            </w:r>
          </w:p>
        </w:tc>
      </w:tr>
      <w:tr>
        <w:trPr/>
        <w:tc>
          <w:tcPr>
            <w:tcW w:w="4370" w:type="dxa"/>
            <w:tcBorders>
              <w:left w:val="single" w:sz="12" w:space="0" w:color="000000"/>
            </w:tcBorders>
            <w:shd w:fill="CCEEFF" w:val="clear"/>
            <w:tcMar>
              <w:top w:w="0" w:type="dxa"/>
            </w:tcMar>
            <w:vAlign w:val="bottom"/>
          </w:tcPr>
          <w:p>
            <w:pPr>
              <w:pStyle w:val="TableContents"/>
              <w:bidi w:val="0"/>
              <w:spacing w:before="0" w:after="0"/>
              <w:ind w:left="144" w:right="0" w:hanging="144"/>
              <w:jc w:val="left"/>
              <w:rPr>
                <w:color w:val="000000"/>
              </w:rPr>
            </w:pPr>
            <w:r>
              <w:rPr>
                <w:color w:val="000000"/>
              </w:rPr>
              <w:t>Unrealized loss on available for-sale securities</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1220" w:type="dxa"/>
            <w:tcBorders/>
            <w:shd w:fill="CCEEFF" w:val="clear"/>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140" w:type="dxa"/>
            <w:tcBorders/>
            <w:shd w:fill="CCEEFF" w:val="clear"/>
            <w:tcMar>
              <w:top w:w="0" w:type="dxa"/>
              <w:left w:w="0" w:type="dxa"/>
            </w:tcMar>
            <w:vAlign w:val="bottom"/>
          </w:tcPr>
          <w:p>
            <w:pPr>
              <w:pStyle w:val="TableContents"/>
              <w:bidi w:val="0"/>
              <w:spacing w:before="0" w:after="283"/>
              <w:jc w:val="left"/>
              <w:rPr/>
            </w:pPr>
            <w:r>
              <w:rPr/>
              <w:t> </w:t>
            </w:r>
          </w:p>
        </w:tc>
        <w:tc>
          <w:tcPr>
            <w:tcW w:w="980" w:type="dxa"/>
            <w:tcBorders/>
            <w:shd w:fill="CCEEFF" w:val="clear"/>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left w:val="single" w:sz="12" w:space="0" w:color="000000"/>
            </w:tcBorders>
            <w:shd w:fill="CCEEFF" w:val="clear"/>
            <w:tcMar>
              <w:top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1100" w:type="dxa"/>
            <w:tcBorders/>
            <w:shd w:fill="CCEEFF" w:val="clear"/>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301" w:type="dxa"/>
            <w:tcBorders/>
            <w:shd w:fill="CCEEFF" w:val="clear"/>
            <w:tcMar>
              <w:top w:w="0" w:type="dxa"/>
              <w:left w:w="0" w:type="dxa"/>
            </w:tcMar>
            <w:vAlign w:val="bottom"/>
          </w:tcPr>
          <w:p>
            <w:pPr>
              <w:pStyle w:val="TableContents"/>
              <w:bidi w:val="0"/>
              <w:spacing w:before="0" w:after="283"/>
              <w:jc w:val="left"/>
              <w:rPr/>
            </w:pPr>
            <w:r>
              <w:rPr/>
              <w:t> </w:t>
            </w:r>
          </w:p>
        </w:tc>
        <w:tc>
          <w:tcPr>
            <w:tcW w:w="559" w:type="dxa"/>
            <w:tcBorders/>
            <w:shd w:fill="CCEEFF" w:val="clear"/>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187" w:type="dxa"/>
            <w:tcBorders/>
            <w:shd w:fill="CCEEFF" w:val="clear"/>
            <w:tcMar>
              <w:top w:w="0" w:type="dxa"/>
              <w:left w:w="0" w:type="dxa"/>
            </w:tcMar>
            <w:vAlign w:val="bottom"/>
          </w:tcPr>
          <w:p>
            <w:pPr>
              <w:pStyle w:val="TableContents"/>
              <w:bidi w:val="0"/>
              <w:spacing w:before="0" w:after="283"/>
              <w:jc w:val="left"/>
              <w:rPr/>
            </w:pPr>
            <w:r>
              <w:rPr/>
              <w:t> </w:t>
            </w:r>
          </w:p>
        </w:tc>
        <w:tc>
          <w:tcPr>
            <w:tcW w:w="913" w:type="dxa"/>
            <w:tcBorders/>
            <w:shd w:fill="CCEEFF" w:val="clear"/>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337" w:type="dxa"/>
            <w:tcBorders/>
            <w:shd w:fill="CCEEFF" w:val="clear"/>
            <w:tcMar>
              <w:top w:w="0" w:type="dxa"/>
              <w:left w:w="0" w:type="dxa"/>
            </w:tcMar>
            <w:vAlign w:val="bottom"/>
          </w:tcPr>
          <w:p>
            <w:pPr>
              <w:pStyle w:val="TableContents"/>
              <w:bidi w:val="0"/>
              <w:spacing w:before="0" w:after="283"/>
              <w:jc w:val="left"/>
              <w:rPr/>
            </w:pPr>
            <w:r>
              <w:rPr/>
              <w:t> </w:t>
            </w:r>
          </w:p>
        </w:tc>
        <w:tc>
          <w:tcPr>
            <w:tcW w:w="628" w:type="dxa"/>
            <w:tcBorders/>
            <w:shd w:fill="CCEEFF" w:val="clear"/>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433" w:type="dxa"/>
            <w:tcBorders/>
            <w:shd w:fill="CCEEFF" w:val="clear"/>
            <w:tcMar>
              <w:top w:w="0" w:type="dxa"/>
              <w:left w:w="0" w:type="dxa"/>
            </w:tcMar>
            <w:vAlign w:val="bottom"/>
          </w:tcPr>
          <w:p>
            <w:pPr>
              <w:pStyle w:val="TableContents"/>
              <w:bidi w:val="0"/>
              <w:spacing w:before="0" w:after="283"/>
              <w:jc w:val="left"/>
              <w:rPr/>
            </w:pPr>
            <w:r>
              <w:rPr/>
              <w:t> </w:t>
            </w:r>
          </w:p>
        </w:tc>
        <w:tc>
          <w:tcPr>
            <w:tcW w:w="1177" w:type="dxa"/>
            <w:tcBorders/>
            <w:shd w:fill="CCEEFF" w:val="clear"/>
            <w:tcMar>
              <w:top w:w="0" w:type="dxa"/>
              <w:left w:w="0" w:type="dxa"/>
            </w:tcMar>
            <w:vAlign w:val="bottom"/>
          </w:tcPr>
          <w:p>
            <w:pPr>
              <w:pStyle w:val="TableContents"/>
              <w:bidi w:val="0"/>
              <w:spacing w:before="0" w:after="0"/>
              <w:jc w:val="right"/>
              <w:rPr>
                <w:color w:val="000000"/>
              </w:rPr>
            </w:pPr>
            <w:r>
              <w:rPr>
                <w:color w:val="000000"/>
              </w:rPr>
              <w:t>(85</w:t>
            </w:r>
          </w:p>
        </w:tc>
        <w:tc>
          <w:tcPr>
            <w:tcW w:w="95" w:type="dxa"/>
            <w:tcBorders/>
            <w:shd w:fill="CCEEFF" w:val="clear"/>
            <w:tcMar>
              <w:top w:w="0" w:type="dxa"/>
              <w:left w:w="0" w:type="dxa"/>
            </w:tcMar>
            <w:vAlign w:val="bottom"/>
          </w:tcPr>
          <w:p>
            <w:pPr>
              <w:pStyle w:val="TableContents"/>
              <w:bidi w:val="0"/>
              <w:spacing w:before="0" w:after="0"/>
              <w:jc w:val="left"/>
              <w:rPr>
                <w:color w:val="000000"/>
              </w:rPr>
            </w:pPr>
            <w:r>
              <w:rPr>
                <w:color w:val="000000"/>
              </w:rPr>
              <w:t>)</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160" w:type="dxa"/>
            <w:tcBorders/>
            <w:shd w:fill="CCEEFF" w:val="clear"/>
            <w:tcMar>
              <w:top w:w="0" w:type="dxa"/>
              <w:left w:w="0" w:type="dxa"/>
            </w:tcMar>
            <w:vAlign w:val="bottom"/>
          </w:tcPr>
          <w:p>
            <w:pPr>
              <w:pStyle w:val="TableContents"/>
              <w:bidi w:val="0"/>
              <w:spacing w:before="0" w:after="283"/>
              <w:jc w:val="left"/>
              <w:rPr/>
            </w:pPr>
            <w:r>
              <w:rPr/>
              <w:t> </w:t>
            </w:r>
          </w:p>
        </w:tc>
        <w:tc>
          <w:tcPr>
            <w:tcW w:w="1210" w:type="dxa"/>
            <w:tcBorders/>
            <w:shd w:fill="CCEEFF" w:val="clear"/>
            <w:tcMar>
              <w:top w:w="0" w:type="dxa"/>
              <w:left w:w="0" w:type="dxa"/>
            </w:tcMar>
            <w:vAlign w:val="bottom"/>
          </w:tcPr>
          <w:p>
            <w:pPr>
              <w:pStyle w:val="TableContents"/>
              <w:bidi w:val="0"/>
              <w:spacing w:before="0" w:after="0"/>
              <w:jc w:val="right"/>
              <w:rPr>
                <w:color w:val="000000"/>
              </w:rPr>
            </w:pPr>
            <w:r>
              <w:rPr>
                <w:color w:val="000000"/>
              </w:rPr>
              <w:t>—</w:t>
            </w:r>
          </w:p>
        </w:tc>
        <w:tc>
          <w:tcPr>
            <w:tcW w:w="95"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156" w:type="dxa"/>
            <w:tcBorders/>
            <w:shd w:fill="CCEEFF" w:val="clear"/>
            <w:tcMar>
              <w:top w:w="0" w:type="dxa"/>
              <w:left w:w="0" w:type="dxa"/>
            </w:tcMar>
            <w:vAlign w:val="bottom"/>
          </w:tcPr>
          <w:p>
            <w:pPr>
              <w:pStyle w:val="TableContents"/>
              <w:bidi w:val="0"/>
              <w:spacing w:before="0" w:after="283"/>
              <w:jc w:val="left"/>
              <w:rPr/>
            </w:pPr>
            <w:r>
              <w:rPr/>
              <w:t> </w:t>
            </w:r>
          </w:p>
        </w:tc>
        <w:tc>
          <w:tcPr>
            <w:tcW w:w="1184" w:type="dxa"/>
            <w:tcBorders/>
            <w:shd w:fill="CCEEFF" w:val="clear"/>
            <w:tcMar>
              <w:top w:w="0" w:type="dxa"/>
              <w:left w:w="0" w:type="dxa"/>
            </w:tcMar>
            <w:vAlign w:val="bottom"/>
          </w:tcPr>
          <w:p>
            <w:pPr>
              <w:pStyle w:val="TableContents"/>
              <w:bidi w:val="0"/>
              <w:spacing w:before="0" w:after="0"/>
              <w:jc w:val="right"/>
              <w:rPr>
                <w:color w:val="000000"/>
              </w:rPr>
            </w:pPr>
            <w:r>
              <w:rPr>
                <w:color w:val="000000"/>
              </w:rPr>
              <w:t>(85</w:t>
            </w:r>
          </w:p>
        </w:tc>
        <w:tc>
          <w:tcPr>
            <w:tcW w:w="95" w:type="dxa"/>
            <w:tcBorders>
              <w:right w:val="single" w:sz="12" w:space="0" w:color="000000"/>
            </w:tcBorders>
            <w:shd w:fill="CCEEFF" w:val="clear"/>
            <w:tcMar>
              <w:top w:w="0" w:type="dxa"/>
              <w:left w:w="0" w:type="dxa"/>
              <w:right w:w="28" w:type="dxa"/>
            </w:tcMar>
            <w:vAlign w:val="bottom"/>
          </w:tcPr>
          <w:p>
            <w:pPr>
              <w:pStyle w:val="TableContents"/>
              <w:bidi w:val="0"/>
              <w:spacing w:before="0" w:after="0"/>
              <w:jc w:val="left"/>
              <w:rPr>
                <w:color w:val="000000"/>
              </w:rPr>
            </w:pPr>
            <w:r>
              <w:rPr>
                <w:color w:val="000000"/>
              </w:rPr>
              <w:t>)</w:t>
            </w:r>
          </w:p>
        </w:tc>
      </w:tr>
      <w:tr>
        <w:trPr/>
        <w:tc>
          <w:tcPr>
            <w:tcW w:w="4370" w:type="dxa"/>
            <w:tcBorders>
              <w:left w:val="single" w:sz="12" w:space="0" w:color="000000"/>
            </w:tcBorders>
            <w:tcMar>
              <w:top w:w="0" w:type="dxa"/>
            </w:tcMar>
            <w:vAlign w:val="bottom"/>
          </w:tcPr>
          <w:p>
            <w:pPr>
              <w:pStyle w:val="TableContents"/>
              <w:bidi w:val="0"/>
              <w:spacing w:before="0" w:after="0"/>
              <w:ind w:left="144" w:right="0" w:hanging="144"/>
              <w:jc w:val="left"/>
              <w:rPr>
                <w:color w:val="000000"/>
              </w:rPr>
            </w:pPr>
            <w:r>
              <w:rPr>
                <w:color w:val="000000"/>
              </w:rPr>
              <w:t>Foreign currency translation adjustment</w:t>
            </w:r>
          </w:p>
        </w:tc>
        <w:tc>
          <w:tcPr>
            <w:tcW w:w="60" w:type="dxa"/>
            <w:tcBorders/>
            <w:tcMar>
              <w:top w:w="0" w:type="dxa"/>
              <w:left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1220" w:type="dxa"/>
            <w:tcBorders/>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tcMar>
              <w:top w:w="0" w:type="dxa"/>
              <w:left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140" w:type="dxa"/>
            <w:tcBorders/>
            <w:tcMar>
              <w:top w:w="0" w:type="dxa"/>
              <w:left w:w="0" w:type="dxa"/>
            </w:tcMar>
            <w:vAlign w:val="bottom"/>
          </w:tcPr>
          <w:p>
            <w:pPr>
              <w:pStyle w:val="TableContents"/>
              <w:bidi w:val="0"/>
              <w:spacing w:before="0" w:after="283"/>
              <w:jc w:val="left"/>
              <w:rPr/>
            </w:pPr>
            <w:r>
              <w:rPr/>
              <w:t> </w:t>
            </w:r>
          </w:p>
        </w:tc>
        <w:tc>
          <w:tcPr>
            <w:tcW w:w="980" w:type="dxa"/>
            <w:tcBorders/>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tcMar>
              <w:top w:w="0" w:type="dxa"/>
              <w:left w:w="0" w:type="dxa"/>
            </w:tcMar>
            <w:vAlign w:val="bottom"/>
          </w:tcPr>
          <w:p>
            <w:pPr>
              <w:pStyle w:val="TableContents"/>
              <w:bidi w:val="0"/>
              <w:spacing w:before="0" w:after="283"/>
              <w:jc w:val="left"/>
              <w:rPr/>
            </w:pPr>
            <w:r>
              <w:rPr/>
              <w:t> </w:t>
            </w:r>
          </w:p>
        </w:tc>
        <w:tc>
          <w:tcPr>
            <w:tcW w:w="60" w:type="dxa"/>
            <w:tcBorders>
              <w:left w:val="single" w:sz="12" w:space="0" w:color="000000"/>
            </w:tcBorders>
            <w:tcMar>
              <w:top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1100" w:type="dxa"/>
            <w:tcBorders/>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tcMar>
              <w:top w:w="0" w:type="dxa"/>
              <w:left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301" w:type="dxa"/>
            <w:tcBorders/>
            <w:tcMar>
              <w:top w:w="0" w:type="dxa"/>
              <w:left w:w="0" w:type="dxa"/>
            </w:tcMar>
            <w:vAlign w:val="bottom"/>
          </w:tcPr>
          <w:p>
            <w:pPr>
              <w:pStyle w:val="TableContents"/>
              <w:bidi w:val="0"/>
              <w:spacing w:before="0" w:after="283"/>
              <w:jc w:val="left"/>
              <w:rPr/>
            </w:pPr>
            <w:r>
              <w:rPr/>
              <w:t> </w:t>
            </w:r>
          </w:p>
        </w:tc>
        <w:tc>
          <w:tcPr>
            <w:tcW w:w="559" w:type="dxa"/>
            <w:tcBorders/>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tcMar>
              <w:top w:w="0" w:type="dxa"/>
              <w:left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187" w:type="dxa"/>
            <w:tcBorders/>
            <w:tcMar>
              <w:top w:w="0" w:type="dxa"/>
              <w:left w:w="0" w:type="dxa"/>
            </w:tcMar>
            <w:vAlign w:val="bottom"/>
          </w:tcPr>
          <w:p>
            <w:pPr>
              <w:pStyle w:val="TableContents"/>
              <w:bidi w:val="0"/>
              <w:spacing w:before="0" w:after="283"/>
              <w:jc w:val="left"/>
              <w:rPr/>
            </w:pPr>
            <w:r>
              <w:rPr/>
              <w:t> </w:t>
            </w:r>
          </w:p>
        </w:tc>
        <w:tc>
          <w:tcPr>
            <w:tcW w:w="913" w:type="dxa"/>
            <w:tcBorders/>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tcMar>
              <w:top w:w="0" w:type="dxa"/>
              <w:left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337" w:type="dxa"/>
            <w:tcBorders/>
            <w:tcMar>
              <w:top w:w="0" w:type="dxa"/>
              <w:left w:w="0" w:type="dxa"/>
            </w:tcMar>
            <w:vAlign w:val="bottom"/>
          </w:tcPr>
          <w:p>
            <w:pPr>
              <w:pStyle w:val="TableContents"/>
              <w:bidi w:val="0"/>
              <w:spacing w:before="0" w:after="283"/>
              <w:jc w:val="left"/>
              <w:rPr/>
            </w:pPr>
            <w:r>
              <w:rPr/>
              <w:t> </w:t>
            </w:r>
          </w:p>
        </w:tc>
        <w:tc>
          <w:tcPr>
            <w:tcW w:w="628" w:type="dxa"/>
            <w:tcBorders/>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tcMar>
              <w:top w:w="0" w:type="dxa"/>
              <w:left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433" w:type="dxa"/>
            <w:tcBorders/>
            <w:tcMar>
              <w:top w:w="0" w:type="dxa"/>
              <w:left w:w="0" w:type="dxa"/>
            </w:tcMar>
            <w:vAlign w:val="bottom"/>
          </w:tcPr>
          <w:p>
            <w:pPr>
              <w:pStyle w:val="TableContents"/>
              <w:bidi w:val="0"/>
              <w:spacing w:before="0" w:after="283"/>
              <w:jc w:val="left"/>
              <w:rPr/>
            </w:pPr>
            <w:r>
              <w:rPr/>
              <w:t> </w:t>
            </w:r>
          </w:p>
        </w:tc>
        <w:tc>
          <w:tcPr>
            <w:tcW w:w="1177" w:type="dxa"/>
            <w:tcBorders/>
            <w:tcMar>
              <w:top w:w="0" w:type="dxa"/>
              <w:left w:w="0" w:type="dxa"/>
            </w:tcMar>
            <w:vAlign w:val="bottom"/>
          </w:tcPr>
          <w:p>
            <w:pPr>
              <w:pStyle w:val="TableContents"/>
              <w:bidi w:val="0"/>
              <w:spacing w:before="0" w:after="0"/>
              <w:jc w:val="right"/>
              <w:rPr>
                <w:color w:val="000000"/>
              </w:rPr>
            </w:pPr>
            <w:r>
              <w:rPr>
                <w:color w:val="000000"/>
              </w:rPr>
              <w:t>(19</w:t>
            </w:r>
          </w:p>
        </w:tc>
        <w:tc>
          <w:tcPr>
            <w:tcW w:w="95" w:type="dxa"/>
            <w:tcBorders/>
            <w:tcMar>
              <w:top w:w="0" w:type="dxa"/>
              <w:left w:w="0" w:type="dxa"/>
            </w:tcMar>
            <w:vAlign w:val="bottom"/>
          </w:tcPr>
          <w:p>
            <w:pPr>
              <w:pStyle w:val="TableContents"/>
              <w:bidi w:val="0"/>
              <w:spacing w:before="0" w:after="0"/>
              <w:jc w:val="left"/>
              <w:rPr>
                <w:color w:val="000000"/>
              </w:rPr>
            </w:pPr>
            <w:r>
              <w:rPr>
                <w:color w:val="000000"/>
              </w:rPr>
              <w:t>)</w:t>
            </w:r>
          </w:p>
        </w:tc>
        <w:tc>
          <w:tcPr>
            <w:tcW w:w="60" w:type="dxa"/>
            <w:tcBorders/>
            <w:tcMar>
              <w:top w:w="0" w:type="dxa"/>
              <w:left w:w="0" w:type="dxa"/>
            </w:tcMar>
            <w:vAlign w:val="bottom"/>
          </w:tcPr>
          <w:p>
            <w:pPr>
              <w:pStyle w:val="TableContents"/>
              <w:bidi w:val="0"/>
              <w:spacing w:before="0" w:after="283"/>
              <w:jc w:val="left"/>
              <w:rPr/>
            </w:pPr>
            <w:r>
              <w:rPr/>
              <w:t> </w:t>
            </w:r>
          </w:p>
        </w:tc>
        <w:tc>
          <w:tcPr>
            <w:tcW w:w="160" w:type="dxa"/>
            <w:tcBorders/>
            <w:tcMar>
              <w:top w:w="0" w:type="dxa"/>
              <w:left w:w="0" w:type="dxa"/>
            </w:tcMar>
            <w:vAlign w:val="bottom"/>
          </w:tcPr>
          <w:p>
            <w:pPr>
              <w:pStyle w:val="TableContents"/>
              <w:bidi w:val="0"/>
              <w:spacing w:before="0" w:after="283"/>
              <w:jc w:val="left"/>
              <w:rPr/>
            </w:pPr>
            <w:r>
              <w:rPr/>
              <w:t> </w:t>
            </w:r>
          </w:p>
        </w:tc>
        <w:tc>
          <w:tcPr>
            <w:tcW w:w="1210" w:type="dxa"/>
            <w:tcBorders/>
            <w:tcMar>
              <w:top w:w="0" w:type="dxa"/>
              <w:left w:w="0" w:type="dxa"/>
            </w:tcMar>
            <w:vAlign w:val="bottom"/>
          </w:tcPr>
          <w:p>
            <w:pPr>
              <w:pStyle w:val="TableContents"/>
              <w:bidi w:val="0"/>
              <w:spacing w:before="0" w:after="0"/>
              <w:jc w:val="right"/>
              <w:rPr>
                <w:color w:val="000000"/>
              </w:rPr>
            </w:pPr>
            <w:r>
              <w:rPr>
                <w:color w:val="000000"/>
              </w:rPr>
              <w:t>—</w:t>
            </w:r>
          </w:p>
        </w:tc>
        <w:tc>
          <w:tcPr>
            <w:tcW w:w="95" w:type="dxa"/>
            <w:tcBorders/>
            <w:tcMar>
              <w:top w:w="0" w:type="dxa"/>
              <w:left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156" w:type="dxa"/>
            <w:tcBorders/>
            <w:tcMar>
              <w:top w:w="0" w:type="dxa"/>
              <w:left w:w="0" w:type="dxa"/>
            </w:tcMar>
            <w:vAlign w:val="bottom"/>
          </w:tcPr>
          <w:p>
            <w:pPr>
              <w:pStyle w:val="TableContents"/>
              <w:bidi w:val="0"/>
              <w:spacing w:before="0" w:after="283"/>
              <w:jc w:val="left"/>
              <w:rPr/>
            </w:pPr>
            <w:r>
              <w:rPr/>
              <w:t> </w:t>
            </w:r>
          </w:p>
        </w:tc>
        <w:tc>
          <w:tcPr>
            <w:tcW w:w="1184" w:type="dxa"/>
            <w:tcBorders/>
            <w:tcMar>
              <w:top w:w="0" w:type="dxa"/>
              <w:left w:w="0" w:type="dxa"/>
            </w:tcMar>
            <w:vAlign w:val="bottom"/>
          </w:tcPr>
          <w:p>
            <w:pPr>
              <w:pStyle w:val="TableContents"/>
              <w:bidi w:val="0"/>
              <w:spacing w:before="0" w:after="0"/>
              <w:jc w:val="right"/>
              <w:rPr>
                <w:color w:val="000000"/>
              </w:rPr>
            </w:pPr>
            <w:r>
              <w:rPr>
                <w:color w:val="000000"/>
              </w:rPr>
              <w:t>(19</w:t>
            </w:r>
          </w:p>
        </w:tc>
        <w:tc>
          <w:tcPr>
            <w:tcW w:w="95" w:type="dxa"/>
            <w:tcBorders>
              <w:right w:val="single" w:sz="12" w:space="0" w:color="000000"/>
            </w:tcBorders>
            <w:tcMar>
              <w:top w:w="0" w:type="dxa"/>
              <w:left w:w="0" w:type="dxa"/>
              <w:right w:w="28" w:type="dxa"/>
            </w:tcMar>
            <w:vAlign w:val="bottom"/>
          </w:tcPr>
          <w:p>
            <w:pPr>
              <w:pStyle w:val="TableContents"/>
              <w:bidi w:val="0"/>
              <w:spacing w:before="0" w:after="0"/>
              <w:jc w:val="left"/>
              <w:rPr>
                <w:color w:val="000000"/>
              </w:rPr>
            </w:pPr>
            <w:r>
              <w:rPr>
                <w:color w:val="000000"/>
              </w:rPr>
              <w:t>)</w:t>
            </w:r>
          </w:p>
        </w:tc>
      </w:tr>
      <w:tr>
        <w:trPr/>
        <w:tc>
          <w:tcPr>
            <w:tcW w:w="4370" w:type="dxa"/>
            <w:tcBorders>
              <w:left w:val="single" w:sz="12" w:space="0" w:color="000000"/>
            </w:tcBorders>
            <w:shd w:fill="CCEEFF" w:val="clear"/>
            <w:tcMar>
              <w:top w:w="0" w:type="dxa"/>
            </w:tcMar>
            <w:vAlign w:val="bottom"/>
          </w:tcPr>
          <w:p>
            <w:pPr>
              <w:pStyle w:val="TableContents"/>
              <w:bidi w:val="0"/>
              <w:spacing w:before="0" w:after="0"/>
              <w:ind w:left="144" w:right="0" w:hanging="144"/>
              <w:jc w:val="left"/>
              <w:rPr>
                <w:color w:val="000000"/>
              </w:rPr>
            </w:pPr>
            <w:r>
              <w:rPr>
                <w:color w:val="000000"/>
              </w:rPr>
              <w:t>Net loss</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top w:w="0" w:type="dxa"/>
              <w:left w:w="0" w:type="dxa"/>
              <w:bottom w:w="28" w:type="dxa"/>
            </w:tcMar>
            <w:vAlign w:val="bottom"/>
          </w:tcPr>
          <w:p>
            <w:pPr>
              <w:pStyle w:val="TableContents"/>
              <w:bidi w:val="0"/>
              <w:spacing w:before="0" w:after="283"/>
              <w:jc w:val="left"/>
              <w:rPr/>
            </w:pPr>
            <w:r>
              <w:rPr/>
              <w:t> </w:t>
            </w:r>
          </w:p>
        </w:tc>
        <w:tc>
          <w:tcPr>
            <w:tcW w:w="1220" w:type="dxa"/>
            <w:tcBorders>
              <w:bottom w:val="single" w:sz="12" w:space="0" w:color="000000"/>
            </w:tcBorders>
            <w:shd w:fill="CCEEFF" w:val="clear"/>
            <w:tcMar>
              <w:top w:w="0" w:type="dxa"/>
              <w:left w:w="0" w:type="dxa"/>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top w:w="0" w:type="dxa"/>
              <w:left w:w="0" w:type="dxa"/>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top w:w="0" w:type="dxa"/>
              <w:left w:w="0" w:type="dxa"/>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left w:val="single" w:sz="12" w:space="0" w:color="000000"/>
            </w:tcBorders>
            <w:shd w:fill="CCEEFF" w:val="clear"/>
            <w:tcMar>
              <w:top w:w="0"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top w:w="0" w:type="dxa"/>
              <w:left w:w="0" w:type="dxa"/>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top w:w="0" w:type="dxa"/>
              <w:left w:w="0" w:type="dxa"/>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301" w:type="dxa"/>
            <w:tcBorders>
              <w:bottom w:val="single" w:sz="12" w:space="0" w:color="000000"/>
            </w:tcBorders>
            <w:shd w:fill="CCEEFF" w:val="clear"/>
            <w:tcMar>
              <w:top w:w="0" w:type="dxa"/>
              <w:left w:w="0" w:type="dxa"/>
              <w:bottom w:w="28" w:type="dxa"/>
            </w:tcMar>
            <w:vAlign w:val="bottom"/>
          </w:tcPr>
          <w:p>
            <w:pPr>
              <w:pStyle w:val="TableContents"/>
              <w:bidi w:val="0"/>
              <w:spacing w:before="0" w:after="283"/>
              <w:jc w:val="left"/>
              <w:rPr/>
            </w:pPr>
            <w:r>
              <w:rPr/>
              <w:t> </w:t>
            </w:r>
          </w:p>
        </w:tc>
        <w:tc>
          <w:tcPr>
            <w:tcW w:w="559" w:type="dxa"/>
            <w:tcBorders>
              <w:bottom w:val="single" w:sz="12" w:space="0" w:color="000000"/>
            </w:tcBorders>
            <w:shd w:fill="CCEEFF" w:val="clear"/>
            <w:tcMar>
              <w:top w:w="0" w:type="dxa"/>
              <w:left w:w="0" w:type="dxa"/>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187" w:type="dxa"/>
            <w:tcBorders>
              <w:bottom w:val="single" w:sz="12" w:space="0" w:color="000000"/>
            </w:tcBorders>
            <w:shd w:fill="CCEEFF" w:val="clear"/>
            <w:tcMar>
              <w:top w:w="0" w:type="dxa"/>
              <w:left w:w="0" w:type="dxa"/>
              <w:bottom w:w="28" w:type="dxa"/>
            </w:tcMar>
            <w:vAlign w:val="bottom"/>
          </w:tcPr>
          <w:p>
            <w:pPr>
              <w:pStyle w:val="TableContents"/>
              <w:bidi w:val="0"/>
              <w:spacing w:before="0" w:after="283"/>
              <w:jc w:val="left"/>
              <w:rPr/>
            </w:pPr>
            <w:r>
              <w:rPr/>
              <w:t> </w:t>
            </w:r>
          </w:p>
        </w:tc>
        <w:tc>
          <w:tcPr>
            <w:tcW w:w="913" w:type="dxa"/>
            <w:tcBorders>
              <w:bottom w:val="single" w:sz="12" w:space="0" w:color="000000"/>
            </w:tcBorders>
            <w:shd w:fill="CCEEFF" w:val="clear"/>
            <w:tcMar>
              <w:top w:w="0" w:type="dxa"/>
              <w:left w:w="0" w:type="dxa"/>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337" w:type="dxa"/>
            <w:tcBorders>
              <w:bottom w:val="single" w:sz="12" w:space="0" w:color="000000"/>
            </w:tcBorders>
            <w:shd w:fill="CCEEFF" w:val="clear"/>
            <w:tcMar>
              <w:top w:w="0" w:type="dxa"/>
              <w:left w:w="0" w:type="dxa"/>
              <w:bottom w:w="28" w:type="dxa"/>
            </w:tcMar>
            <w:vAlign w:val="bottom"/>
          </w:tcPr>
          <w:p>
            <w:pPr>
              <w:pStyle w:val="TableContents"/>
              <w:bidi w:val="0"/>
              <w:spacing w:before="0" w:after="283"/>
              <w:jc w:val="left"/>
              <w:rPr/>
            </w:pPr>
            <w:r>
              <w:rPr/>
              <w:t> </w:t>
            </w:r>
          </w:p>
        </w:tc>
        <w:tc>
          <w:tcPr>
            <w:tcW w:w="628" w:type="dxa"/>
            <w:tcBorders>
              <w:bottom w:val="single" w:sz="12" w:space="0" w:color="000000"/>
            </w:tcBorders>
            <w:shd w:fill="CCEEFF" w:val="clear"/>
            <w:tcMar>
              <w:top w:w="0" w:type="dxa"/>
              <w:left w:w="0" w:type="dxa"/>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433" w:type="dxa"/>
            <w:tcBorders>
              <w:bottom w:val="single" w:sz="12" w:space="0" w:color="000000"/>
            </w:tcBorders>
            <w:shd w:fill="CCEEFF" w:val="clear"/>
            <w:tcMar>
              <w:top w:w="0" w:type="dxa"/>
              <w:left w:w="0" w:type="dxa"/>
              <w:bottom w:w="28" w:type="dxa"/>
            </w:tcMar>
            <w:vAlign w:val="bottom"/>
          </w:tcPr>
          <w:p>
            <w:pPr>
              <w:pStyle w:val="TableContents"/>
              <w:bidi w:val="0"/>
              <w:spacing w:before="0" w:after="283"/>
              <w:jc w:val="left"/>
              <w:rPr/>
            </w:pPr>
            <w:r>
              <w:rPr/>
              <w:t> </w:t>
            </w:r>
          </w:p>
        </w:tc>
        <w:tc>
          <w:tcPr>
            <w:tcW w:w="1177" w:type="dxa"/>
            <w:tcBorders>
              <w:bottom w:val="single" w:sz="12" w:space="0" w:color="000000"/>
            </w:tcBorders>
            <w:shd w:fill="CCEEFF" w:val="clear"/>
            <w:tcMar>
              <w:top w:w="0" w:type="dxa"/>
              <w:left w:w="0" w:type="dxa"/>
              <w:bottom w:w="28" w:type="dxa"/>
            </w:tcMar>
            <w:vAlign w:val="bottom"/>
          </w:tcPr>
          <w:p>
            <w:pPr>
              <w:pStyle w:val="TableContents"/>
              <w:bidi w:val="0"/>
              <w:spacing w:before="0" w:after="0"/>
              <w:jc w:val="right"/>
              <w:rPr>
                <w:color w:val="000000"/>
              </w:rPr>
            </w:pPr>
            <w:r>
              <w:rPr>
                <w:color w:val="000000"/>
              </w:rPr>
              <w:t>—</w:t>
            </w:r>
          </w:p>
        </w:tc>
        <w:tc>
          <w:tcPr>
            <w:tcW w:w="95"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160" w:type="dxa"/>
            <w:tcBorders>
              <w:bottom w:val="single" w:sz="12" w:space="0" w:color="000000"/>
            </w:tcBorders>
            <w:shd w:fill="CCEEFF" w:val="clear"/>
            <w:tcMar>
              <w:top w:w="0" w:type="dxa"/>
              <w:left w:w="0" w:type="dxa"/>
              <w:bottom w:w="28" w:type="dxa"/>
            </w:tcMar>
            <w:vAlign w:val="bottom"/>
          </w:tcPr>
          <w:p>
            <w:pPr>
              <w:pStyle w:val="TableContents"/>
              <w:bidi w:val="0"/>
              <w:spacing w:before="0" w:after="283"/>
              <w:jc w:val="left"/>
              <w:rPr/>
            </w:pPr>
            <w:r>
              <w:rPr/>
              <w:t> </w:t>
            </w:r>
          </w:p>
        </w:tc>
        <w:tc>
          <w:tcPr>
            <w:tcW w:w="1210" w:type="dxa"/>
            <w:tcBorders>
              <w:bottom w:val="single" w:sz="12" w:space="0" w:color="000000"/>
            </w:tcBorders>
            <w:shd w:fill="CCEEFF" w:val="clear"/>
            <w:tcMar>
              <w:top w:w="0" w:type="dxa"/>
              <w:left w:w="0" w:type="dxa"/>
              <w:bottom w:w="28" w:type="dxa"/>
            </w:tcMar>
            <w:vAlign w:val="bottom"/>
          </w:tcPr>
          <w:p>
            <w:pPr>
              <w:pStyle w:val="TableContents"/>
              <w:bidi w:val="0"/>
              <w:spacing w:before="0" w:after="0"/>
              <w:jc w:val="right"/>
              <w:rPr>
                <w:color w:val="000000"/>
              </w:rPr>
            </w:pPr>
            <w:r>
              <w:rPr>
                <w:color w:val="000000"/>
              </w:rPr>
              <w:t>(132,588</w:t>
            </w:r>
          </w:p>
        </w:tc>
        <w:tc>
          <w:tcPr>
            <w:tcW w:w="95" w:type="dxa"/>
            <w:tcBorders/>
            <w:shd w:fill="CCEEFF" w:val="clear"/>
            <w:tcMar>
              <w:top w:w="0" w:type="dxa"/>
              <w:left w:w="0" w:type="dxa"/>
            </w:tcMar>
            <w:vAlign w:val="bottom"/>
          </w:tcPr>
          <w:p>
            <w:pPr>
              <w:pStyle w:val="TableContents"/>
              <w:bidi w:val="0"/>
              <w:spacing w:before="0" w:after="0"/>
              <w:jc w:val="left"/>
              <w:rPr>
                <w:color w:val="000000"/>
              </w:rPr>
            </w:pPr>
            <w:r>
              <w:rPr>
                <w:color w:val="000000"/>
              </w:rPr>
              <w:t>)</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156" w:type="dxa"/>
            <w:tcBorders>
              <w:bottom w:val="single" w:sz="12" w:space="0" w:color="000000"/>
            </w:tcBorders>
            <w:shd w:fill="CCEEFF" w:val="clear"/>
            <w:tcMar>
              <w:top w:w="0" w:type="dxa"/>
              <w:left w:w="0" w:type="dxa"/>
              <w:bottom w:w="28" w:type="dxa"/>
            </w:tcMar>
            <w:vAlign w:val="bottom"/>
          </w:tcPr>
          <w:p>
            <w:pPr>
              <w:pStyle w:val="TableContents"/>
              <w:bidi w:val="0"/>
              <w:spacing w:before="0" w:after="283"/>
              <w:jc w:val="left"/>
              <w:rPr/>
            </w:pPr>
            <w:r>
              <w:rPr/>
              <w:t> </w:t>
            </w:r>
          </w:p>
        </w:tc>
        <w:tc>
          <w:tcPr>
            <w:tcW w:w="1184" w:type="dxa"/>
            <w:tcBorders>
              <w:bottom w:val="single" w:sz="12" w:space="0" w:color="000000"/>
            </w:tcBorders>
            <w:shd w:fill="CCEEFF" w:val="clear"/>
            <w:tcMar>
              <w:top w:w="0" w:type="dxa"/>
              <w:left w:w="0" w:type="dxa"/>
              <w:bottom w:w="28" w:type="dxa"/>
            </w:tcMar>
            <w:vAlign w:val="bottom"/>
          </w:tcPr>
          <w:p>
            <w:pPr>
              <w:pStyle w:val="TableContents"/>
              <w:bidi w:val="0"/>
              <w:spacing w:before="0" w:after="0"/>
              <w:jc w:val="right"/>
              <w:rPr>
                <w:color w:val="000000"/>
              </w:rPr>
            </w:pPr>
            <w:r>
              <w:rPr>
                <w:color w:val="000000"/>
              </w:rPr>
              <w:t>(132,588</w:t>
            </w:r>
          </w:p>
        </w:tc>
        <w:tc>
          <w:tcPr>
            <w:tcW w:w="95" w:type="dxa"/>
            <w:tcBorders>
              <w:right w:val="single" w:sz="12" w:space="0" w:color="000000"/>
            </w:tcBorders>
            <w:shd w:fill="CCEEFF" w:val="clear"/>
            <w:tcMar>
              <w:top w:w="0" w:type="dxa"/>
              <w:left w:w="0" w:type="dxa"/>
              <w:right w:w="28" w:type="dxa"/>
            </w:tcMar>
            <w:vAlign w:val="bottom"/>
          </w:tcPr>
          <w:p>
            <w:pPr>
              <w:pStyle w:val="TableContents"/>
              <w:bidi w:val="0"/>
              <w:spacing w:before="0" w:after="0"/>
              <w:jc w:val="left"/>
              <w:rPr>
                <w:color w:val="000000"/>
              </w:rPr>
            </w:pPr>
            <w:r>
              <w:rPr>
                <w:color w:val="000000"/>
              </w:rPr>
              <w:t>)</w:t>
            </w:r>
          </w:p>
        </w:tc>
      </w:tr>
      <w:tr>
        <w:trPr/>
        <w:tc>
          <w:tcPr>
            <w:tcW w:w="4370" w:type="dxa"/>
            <w:tcBorders>
              <w:left w:val="single" w:sz="12" w:space="0" w:color="000000"/>
              <w:bottom w:val="double" w:sz="8" w:space="0" w:color="000000"/>
            </w:tcBorders>
            <w:tcMar>
              <w:top w:w="0" w:type="dxa"/>
              <w:bottom w:w="28" w:type="dxa"/>
            </w:tcMar>
            <w:vAlign w:val="bottom"/>
          </w:tcPr>
          <w:p>
            <w:pPr>
              <w:pStyle w:val="TableContents"/>
              <w:bidi w:val="0"/>
              <w:spacing w:before="0" w:after="0"/>
              <w:ind w:left="144" w:right="0" w:hanging="144"/>
              <w:jc w:val="left"/>
              <w:rPr>
                <w:b/>
                <w:color w:val="000000"/>
              </w:rPr>
            </w:pPr>
            <w:r>
              <w:rPr>
                <w:b/>
                <w:color w:val="000000"/>
              </w:rPr>
              <w:t>Balance as of June 30, 2026</w:t>
            </w:r>
          </w:p>
        </w:tc>
        <w:tc>
          <w:tcPr>
            <w:tcW w:w="60" w:type="dxa"/>
            <w:tcBorders>
              <w:bottom w:val="double" w:sz="8" w:space="0" w:color="000000"/>
            </w:tcBorders>
            <w:tcMar>
              <w:top w:w="0" w:type="dxa"/>
              <w:left w:w="0" w:type="dxa"/>
              <w:bottom w:w="28" w:type="dxa"/>
            </w:tcMar>
            <w:vAlign w:val="bottom"/>
          </w:tcPr>
          <w:p>
            <w:pPr>
              <w:pStyle w:val="TableContents"/>
              <w:bidi w:val="0"/>
              <w:spacing w:before="0" w:after="283"/>
              <w:jc w:val="left"/>
              <w:rPr/>
            </w:pPr>
            <w:r>
              <w:rPr/>
              <w:t> </w:t>
            </w:r>
          </w:p>
        </w:tc>
        <w:tc>
          <w:tcPr>
            <w:tcW w:w="60" w:type="dxa"/>
            <w:tcBorders>
              <w:bottom w:val="double" w:sz="8" w:space="0" w:color="000000"/>
            </w:tcBorders>
            <w:tcMar>
              <w:top w:w="0" w:type="dxa"/>
              <w:left w:w="0" w:type="dxa"/>
              <w:bottom w:w="28" w:type="dxa"/>
            </w:tcMar>
            <w:vAlign w:val="bottom"/>
          </w:tcPr>
          <w:p>
            <w:pPr>
              <w:pStyle w:val="TableContents"/>
              <w:bidi w:val="0"/>
              <w:spacing w:before="0" w:after="283"/>
              <w:jc w:val="left"/>
              <w:rPr/>
            </w:pPr>
            <w:r>
              <w:rPr/>
              <w:t> </w:t>
            </w:r>
          </w:p>
        </w:tc>
        <w:tc>
          <w:tcPr>
            <w:tcW w:w="1220" w:type="dxa"/>
            <w:tcBorders>
              <w:bottom w:val="double" w:sz="8" w:space="0" w:color="000000"/>
            </w:tcBorders>
            <w:tcMar>
              <w:top w:w="0" w:type="dxa"/>
              <w:left w:w="0" w:type="dxa"/>
              <w:bottom w:w="28" w:type="dxa"/>
            </w:tcMar>
            <w:vAlign w:val="bottom"/>
          </w:tcPr>
          <w:p>
            <w:pPr>
              <w:pStyle w:val="TableContents"/>
              <w:bidi w:val="0"/>
              <w:spacing w:before="0" w:after="0"/>
              <w:jc w:val="right"/>
              <w:rPr>
                <w:color w:val="000000"/>
              </w:rPr>
            </w:pPr>
            <w:r>
              <w:rPr>
                <w:color w:val="000000"/>
              </w:rPr>
              <w:t>212,541,832</w:t>
            </w:r>
          </w:p>
        </w:tc>
        <w:tc>
          <w:tcPr>
            <w:tcW w:w="60" w:type="dxa"/>
            <w:tcBorders>
              <w:bottom w:val="double" w:sz="8" w:space="0" w:color="000000"/>
            </w:tcBorders>
            <w:tcMar>
              <w:top w:w="0" w:type="dxa"/>
              <w:left w:w="0" w:type="dxa"/>
              <w:bottom w:w="28" w:type="dxa"/>
            </w:tcMar>
            <w:vAlign w:val="bottom"/>
          </w:tcPr>
          <w:p>
            <w:pPr>
              <w:pStyle w:val="TableContents"/>
              <w:bidi w:val="0"/>
              <w:spacing w:before="0" w:after="283"/>
              <w:jc w:val="left"/>
              <w:rPr/>
            </w:pPr>
            <w:r>
              <w:rPr/>
              <w:t> </w:t>
            </w:r>
          </w:p>
        </w:tc>
        <w:tc>
          <w:tcPr>
            <w:tcW w:w="60" w:type="dxa"/>
            <w:tcBorders>
              <w:bottom w:val="double" w:sz="8" w:space="0" w:color="000000"/>
            </w:tcBorders>
            <w:tcMar>
              <w:top w:w="0" w:type="dxa"/>
              <w:left w:w="0" w:type="dxa"/>
              <w:bottom w:w="28" w:type="dxa"/>
            </w:tcMar>
            <w:vAlign w:val="bottom"/>
          </w:tcPr>
          <w:p>
            <w:pPr>
              <w:pStyle w:val="TableContents"/>
              <w:bidi w:val="0"/>
              <w:spacing w:before="0" w:after="283"/>
              <w:jc w:val="left"/>
              <w:rPr/>
            </w:pPr>
            <w:r>
              <w:rPr/>
              <w:t> </w:t>
            </w:r>
          </w:p>
        </w:tc>
        <w:tc>
          <w:tcPr>
            <w:tcW w:w="140" w:type="dxa"/>
            <w:tcBorders>
              <w:bottom w:val="double" w:sz="8" w:space="0" w:color="000000"/>
            </w:tcBorders>
            <w:tcMar>
              <w:top w:w="0" w:type="dxa"/>
              <w:left w:w="0" w:type="dxa"/>
              <w:bottom w:w="28" w:type="dxa"/>
            </w:tcMar>
            <w:vAlign w:val="bottom"/>
          </w:tcPr>
          <w:p>
            <w:pPr>
              <w:pStyle w:val="TableContents"/>
              <w:bidi w:val="0"/>
              <w:spacing w:before="0" w:after="0"/>
              <w:jc w:val="left"/>
              <w:rPr>
                <w:color w:val="000000"/>
              </w:rPr>
            </w:pPr>
            <w:r>
              <w:rPr>
                <w:color w:val="000000"/>
              </w:rPr>
              <w:t>$</w:t>
            </w:r>
          </w:p>
        </w:tc>
        <w:tc>
          <w:tcPr>
            <w:tcW w:w="980" w:type="dxa"/>
            <w:tcBorders>
              <w:bottom w:val="double" w:sz="8" w:space="0" w:color="000000"/>
            </w:tcBorders>
            <w:tcMar>
              <w:top w:w="0" w:type="dxa"/>
              <w:left w:w="0" w:type="dxa"/>
              <w:bottom w:w="28" w:type="dxa"/>
            </w:tcMar>
            <w:vAlign w:val="bottom"/>
          </w:tcPr>
          <w:p>
            <w:pPr>
              <w:pStyle w:val="TableContents"/>
              <w:bidi w:val="0"/>
              <w:spacing w:before="0" w:after="0"/>
              <w:jc w:val="right"/>
              <w:rPr>
                <w:color w:val="000000"/>
              </w:rPr>
            </w:pPr>
            <w:r>
              <w:rPr>
                <w:color w:val="000000"/>
              </w:rPr>
              <w:t>1,363,580</w:t>
            </w:r>
          </w:p>
        </w:tc>
        <w:tc>
          <w:tcPr>
            <w:tcW w:w="60" w:type="dxa"/>
            <w:tcBorders>
              <w:bottom w:val="double" w:sz="8" w:space="0" w:color="000000"/>
            </w:tcBorders>
            <w:tcMar>
              <w:top w:w="0" w:type="dxa"/>
              <w:left w:w="0" w:type="dxa"/>
              <w:bottom w:w="28" w:type="dxa"/>
            </w:tcMar>
            <w:vAlign w:val="bottom"/>
          </w:tcPr>
          <w:p>
            <w:pPr>
              <w:pStyle w:val="TableContents"/>
              <w:bidi w:val="0"/>
              <w:spacing w:before="0" w:after="283"/>
              <w:jc w:val="left"/>
              <w:rPr/>
            </w:pPr>
            <w:r>
              <w:rPr/>
              <w:t> </w:t>
            </w:r>
          </w:p>
        </w:tc>
        <w:tc>
          <w:tcPr>
            <w:tcW w:w="60" w:type="dxa"/>
            <w:tcBorders>
              <w:left w:val="single" w:sz="12" w:space="0" w:color="000000"/>
              <w:bottom w:val="double" w:sz="8" w:space="0" w:color="000000"/>
            </w:tcBorders>
            <w:tcMar>
              <w:top w:w="0" w:type="dxa"/>
              <w:bottom w:w="28" w:type="dxa"/>
            </w:tcMar>
            <w:vAlign w:val="bottom"/>
          </w:tcPr>
          <w:p>
            <w:pPr>
              <w:pStyle w:val="TableContents"/>
              <w:bidi w:val="0"/>
              <w:spacing w:before="0" w:after="283"/>
              <w:jc w:val="left"/>
              <w:rPr/>
            </w:pPr>
            <w:r>
              <w:rPr/>
              <w:t> </w:t>
            </w:r>
          </w:p>
        </w:tc>
        <w:tc>
          <w:tcPr>
            <w:tcW w:w="60" w:type="dxa"/>
            <w:tcBorders>
              <w:bottom w:val="double" w:sz="8" w:space="0" w:color="000000"/>
            </w:tcBorders>
            <w:tcMar>
              <w:top w:w="0" w:type="dxa"/>
              <w:left w:w="0" w:type="dxa"/>
              <w:bottom w:w="28" w:type="dxa"/>
            </w:tcMar>
            <w:vAlign w:val="bottom"/>
          </w:tcPr>
          <w:p>
            <w:pPr>
              <w:pStyle w:val="TableContents"/>
              <w:bidi w:val="0"/>
              <w:spacing w:before="0" w:after="283"/>
              <w:jc w:val="left"/>
              <w:rPr/>
            </w:pPr>
            <w:r>
              <w:rPr/>
              <w:t> </w:t>
            </w:r>
          </w:p>
        </w:tc>
        <w:tc>
          <w:tcPr>
            <w:tcW w:w="1100" w:type="dxa"/>
            <w:tcBorders>
              <w:bottom w:val="double" w:sz="8" w:space="0" w:color="000000"/>
            </w:tcBorders>
            <w:tcMar>
              <w:top w:w="0" w:type="dxa"/>
              <w:left w:w="0" w:type="dxa"/>
              <w:bottom w:w="28" w:type="dxa"/>
            </w:tcMar>
            <w:vAlign w:val="bottom"/>
          </w:tcPr>
          <w:p>
            <w:pPr>
              <w:pStyle w:val="TableContents"/>
              <w:bidi w:val="0"/>
              <w:spacing w:before="0" w:after="0"/>
              <w:jc w:val="right"/>
              <w:rPr>
                <w:color w:val="000000"/>
              </w:rPr>
            </w:pPr>
            <w:r>
              <w:rPr>
                <w:color w:val="000000"/>
              </w:rPr>
              <w:t>26,267,598</w:t>
            </w:r>
          </w:p>
        </w:tc>
        <w:tc>
          <w:tcPr>
            <w:tcW w:w="60" w:type="dxa"/>
            <w:tcBorders>
              <w:bottom w:val="double" w:sz="8" w:space="0" w:color="000000"/>
            </w:tcBorders>
            <w:tcMar>
              <w:top w:w="0" w:type="dxa"/>
              <w:left w:w="0" w:type="dxa"/>
              <w:bottom w:w="28" w:type="dxa"/>
            </w:tcMar>
            <w:vAlign w:val="bottom"/>
          </w:tcPr>
          <w:p>
            <w:pPr>
              <w:pStyle w:val="TableContents"/>
              <w:bidi w:val="0"/>
              <w:spacing w:before="0" w:after="283"/>
              <w:jc w:val="left"/>
              <w:rPr/>
            </w:pPr>
            <w:r>
              <w:rPr/>
              <w:t> </w:t>
            </w:r>
          </w:p>
        </w:tc>
        <w:tc>
          <w:tcPr>
            <w:tcW w:w="60" w:type="dxa"/>
            <w:tcBorders>
              <w:bottom w:val="double" w:sz="8" w:space="0" w:color="000000"/>
            </w:tcBorders>
            <w:tcMar>
              <w:top w:w="0" w:type="dxa"/>
              <w:left w:w="0" w:type="dxa"/>
              <w:bottom w:w="28" w:type="dxa"/>
            </w:tcMar>
            <w:vAlign w:val="bottom"/>
          </w:tcPr>
          <w:p>
            <w:pPr>
              <w:pStyle w:val="TableContents"/>
              <w:bidi w:val="0"/>
              <w:spacing w:before="0" w:after="283"/>
              <w:jc w:val="left"/>
              <w:rPr/>
            </w:pPr>
            <w:r>
              <w:rPr/>
              <w:t> </w:t>
            </w:r>
          </w:p>
        </w:tc>
        <w:tc>
          <w:tcPr>
            <w:tcW w:w="301" w:type="dxa"/>
            <w:tcBorders>
              <w:bottom w:val="double" w:sz="8" w:space="0" w:color="000000"/>
            </w:tcBorders>
            <w:tcMar>
              <w:top w:w="0" w:type="dxa"/>
              <w:left w:w="0" w:type="dxa"/>
              <w:bottom w:w="28" w:type="dxa"/>
            </w:tcMar>
            <w:vAlign w:val="bottom"/>
          </w:tcPr>
          <w:p>
            <w:pPr>
              <w:pStyle w:val="TableContents"/>
              <w:bidi w:val="0"/>
              <w:spacing w:before="0" w:after="0"/>
              <w:jc w:val="left"/>
              <w:rPr>
                <w:color w:val="000000"/>
              </w:rPr>
            </w:pPr>
            <w:r>
              <w:rPr>
                <w:color w:val="000000"/>
              </w:rPr>
              <w:t>$</w:t>
            </w:r>
          </w:p>
        </w:tc>
        <w:tc>
          <w:tcPr>
            <w:tcW w:w="559" w:type="dxa"/>
            <w:tcBorders>
              <w:bottom w:val="double" w:sz="8" w:space="0" w:color="000000"/>
            </w:tcBorders>
            <w:tcMar>
              <w:top w:w="0" w:type="dxa"/>
              <w:left w:w="0" w:type="dxa"/>
              <w:bottom w:w="28" w:type="dxa"/>
            </w:tcMar>
            <w:vAlign w:val="bottom"/>
          </w:tcPr>
          <w:p>
            <w:pPr>
              <w:pStyle w:val="TableContents"/>
              <w:bidi w:val="0"/>
              <w:spacing w:before="0" w:after="0"/>
              <w:jc w:val="right"/>
              <w:rPr>
                <w:color w:val="000000"/>
              </w:rPr>
            </w:pPr>
            <w:r>
              <w:rPr>
                <w:color w:val="000000"/>
              </w:rPr>
              <w:t>3</w:t>
            </w:r>
          </w:p>
        </w:tc>
        <w:tc>
          <w:tcPr>
            <w:tcW w:w="60" w:type="dxa"/>
            <w:tcBorders>
              <w:bottom w:val="double" w:sz="8" w:space="0" w:color="000000"/>
            </w:tcBorders>
            <w:tcMar>
              <w:top w:w="0" w:type="dxa"/>
              <w:left w:w="0" w:type="dxa"/>
              <w:bottom w:w="28" w:type="dxa"/>
            </w:tcMar>
            <w:vAlign w:val="bottom"/>
          </w:tcPr>
          <w:p>
            <w:pPr>
              <w:pStyle w:val="TableContents"/>
              <w:bidi w:val="0"/>
              <w:spacing w:before="0" w:after="283"/>
              <w:jc w:val="left"/>
              <w:rPr/>
            </w:pPr>
            <w:r>
              <w:rPr/>
              <w:t> </w:t>
            </w:r>
          </w:p>
        </w:tc>
        <w:tc>
          <w:tcPr>
            <w:tcW w:w="60" w:type="dxa"/>
            <w:tcBorders>
              <w:bottom w:val="double" w:sz="8" w:space="0" w:color="000000"/>
            </w:tcBorders>
            <w:tcMar>
              <w:top w:w="0" w:type="dxa"/>
              <w:left w:w="0" w:type="dxa"/>
              <w:bottom w:w="28" w:type="dxa"/>
            </w:tcMar>
            <w:vAlign w:val="bottom"/>
          </w:tcPr>
          <w:p>
            <w:pPr>
              <w:pStyle w:val="TableContents"/>
              <w:bidi w:val="0"/>
              <w:spacing w:before="0" w:after="283"/>
              <w:jc w:val="left"/>
              <w:rPr/>
            </w:pPr>
            <w:r>
              <w:rPr/>
              <w:t> </w:t>
            </w:r>
          </w:p>
        </w:tc>
        <w:tc>
          <w:tcPr>
            <w:tcW w:w="187" w:type="dxa"/>
            <w:tcBorders>
              <w:bottom w:val="double" w:sz="8" w:space="0" w:color="000000"/>
            </w:tcBorders>
            <w:tcMar>
              <w:top w:w="0" w:type="dxa"/>
              <w:left w:w="0" w:type="dxa"/>
              <w:bottom w:w="28" w:type="dxa"/>
            </w:tcMar>
            <w:vAlign w:val="bottom"/>
          </w:tcPr>
          <w:p>
            <w:pPr>
              <w:pStyle w:val="TableContents"/>
              <w:bidi w:val="0"/>
              <w:spacing w:before="0" w:after="0"/>
              <w:jc w:val="left"/>
              <w:rPr>
                <w:color w:val="000000"/>
              </w:rPr>
            </w:pPr>
            <w:r>
              <w:rPr>
                <w:color w:val="000000"/>
              </w:rPr>
              <w:t>$</w:t>
            </w:r>
          </w:p>
        </w:tc>
        <w:tc>
          <w:tcPr>
            <w:tcW w:w="913" w:type="dxa"/>
            <w:tcBorders>
              <w:bottom w:val="double" w:sz="8" w:space="0" w:color="000000"/>
            </w:tcBorders>
            <w:tcMar>
              <w:top w:w="0" w:type="dxa"/>
              <w:left w:w="0" w:type="dxa"/>
              <w:bottom w:w="28" w:type="dxa"/>
            </w:tcMar>
            <w:vAlign w:val="bottom"/>
          </w:tcPr>
          <w:p>
            <w:pPr>
              <w:pStyle w:val="TableContents"/>
              <w:bidi w:val="0"/>
              <w:spacing w:before="0" w:after="0"/>
              <w:jc w:val="right"/>
              <w:rPr>
                <w:color w:val="000000"/>
              </w:rPr>
            </w:pPr>
            <w:r>
              <w:rPr>
                <w:color w:val="000000"/>
              </w:rPr>
              <w:t>89,471</w:t>
            </w:r>
          </w:p>
        </w:tc>
        <w:tc>
          <w:tcPr>
            <w:tcW w:w="60" w:type="dxa"/>
            <w:tcBorders>
              <w:bottom w:val="double" w:sz="8" w:space="0" w:color="000000"/>
            </w:tcBorders>
            <w:tcMar>
              <w:top w:w="0" w:type="dxa"/>
              <w:left w:w="0" w:type="dxa"/>
              <w:bottom w:w="28" w:type="dxa"/>
            </w:tcMar>
            <w:vAlign w:val="bottom"/>
          </w:tcPr>
          <w:p>
            <w:pPr>
              <w:pStyle w:val="TableContents"/>
              <w:bidi w:val="0"/>
              <w:spacing w:before="0" w:after="283"/>
              <w:jc w:val="left"/>
              <w:rPr/>
            </w:pPr>
            <w:r>
              <w:rPr/>
              <w:t> </w:t>
            </w:r>
          </w:p>
        </w:tc>
        <w:tc>
          <w:tcPr>
            <w:tcW w:w="60" w:type="dxa"/>
            <w:tcBorders>
              <w:bottom w:val="double" w:sz="8" w:space="0" w:color="000000"/>
            </w:tcBorders>
            <w:tcMar>
              <w:top w:w="0" w:type="dxa"/>
              <w:left w:w="0" w:type="dxa"/>
              <w:bottom w:w="28" w:type="dxa"/>
            </w:tcMar>
            <w:vAlign w:val="bottom"/>
          </w:tcPr>
          <w:p>
            <w:pPr>
              <w:pStyle w:val="TableContents"/>
              <w:bidi w:val="0"/>
              <w:spacing w:before="0" w:after="283"/>
              <w:jc w:val="left"/>
              <w:rPr/>
            </w:pPr>
            <w:r>
              <w:rPr/>
              <w:t> </w:t>
            </w:r>
          </w:p>
        </w:tc>
        <w:tc>
          <w:tcPr>
            <w:tcW w:w="337" w:type="dxa"/>
            <w:tcBorders>
              <w:bottom w:val="double" w:sz="8" w:space="0" w:color="000000"/>
            </w:tcBorders>
            <w:tcMar>
              <w:top w:w="0" w:type="dxa"/>
              <w:left w:w="0" w:type="dxa"/>
              <w:bottom w:w="28" w:type="dxa"/>
            </w:tcMar>
            <w:vAlign w:val="bottom"/>
          </w:tcPr>
          <w:p>
            <w:pPr>
              <w:pStyle w:val="TableContents"/>
              <w:bidi w:val="0"/>
              <w:spacing w:before="0" w:after="0"/>
              <w:jc w:val="left"/>
              <w:rPr>
                <w:color w:val="000000"/>
              </w:rPr>
            </w:pPr>
            <w:r>
              <w:rPr>
                <w:color w:val="000000"/>
              </w:rPr>
              <w:t>$</w:t>
            </w:r>
          </w:p>
        </w:tc>
        <w:tc>
          <w:tcPr>
            <w:tcW w:w="628" w:type="dxa"/>
            <w:tcBorders>
              <w:bottom w:val="double" w:sz="8" w:space="0" w:color="000000"/>
            </w:tcBorders>
            <w:tcMar>
              <w:top w:w="0" w:type="dxa"/>
              <w:left w:w="0" w:type="dxa"/>
              <w:bottom w:w="28" w:type="dxa"/>
            </w:tcMar>
            <w:vAlign w:val="bottom"/>
          </w:tcPr>
          <w:p>
            <w:pPr>
              <w:pStyle w:val="TableContents"/>
              <w:bidi w:val="0"/>
              <w:spacing w:before="0" w:after="0"/>
              <w:jc w:val="right"/>
              <w:rPr>
                <w:color w:val="000000"/>
              </w:rPr>
            </w:pPr>
            <w:r>
              <w:rPr>
                <w:color w:val="000000"/>
              </w:rPr>
              <w:t>—</w:t>
            </w:r>
          </w:p>
        </w:tc>
        <w:tc>
          <w:tcPr>
            <w:tcW w:w="60" w:type="dxa"/>
            <w:tcBorders>
              <w:bottom w:val="double" w:sz="8" w:space="0" w:color="000000"/>
            </w:tcBorders>
            <w:tcMar>
              <w:top w:w="0" w:type="dxa"/>
              <w:left w:w="0" w:type="dxa"/>
              <w:bottom w:w="28" w:type="dxa"/>
            </w:tcMar>
            <w:vAlign w:val="bottom"/>
          </w:tcPr>
          <w:p>
            <w:pPr>
              <w:pStyle w:val="TableContents"/>
              <w:bidi w:val="0"/>
              <w:spacing w:before="0" w:after="283"/>
              <w:jc w:val="left"/>
              <w:rPr/>
            </w:pPr>
            <w:r>
              <w:rPr/>
              <w:t> </w:t>
            </w:r>
          </w:p>
        </w:tc>
        <w:tc>
          <w:tcPr>
            <w:tcW w:w="60" w:type="dxa"/>
            <w:tcBorders>
              <w:bottom w:val="double" w:sz="8" w:space="0" w:color="000000"/>
            </w:tcBorders>
            <w:tcMar>
              <w:top w:w="0" w:type="dxa"/>
              <w:left w:w="0" w:type="dxa"/>
              <w:bottom w:w="28" w:type="dxa"/>
            </w:tcMar>
            <w:vAlign w:val="bottom"/>
          </w:tcPr>
          <w:p>
            <w:pPr>
              <w:pStyle w:val="TableContents"/>
              <w:bidi w:val="0"/>
              <w:spacing w:before="0" w:after="283"/>
              <w:jc w:val="left"/>
              <w:rPr/>
            </w:pPr>
            <w:r>
              <w:rPr/>
              <w:t> </w:t>
            </w:r>
          </w:p>
        </w:tc>
        <w:tc>
          <w:tcPr>
            <w:tcW w:w="433" w:type="dxa"/>
            <w:tcBorders>
              <w:bottom w:val="double" w:sz="8" w:space="0" w:color="000000"/>
            </w:tcBorders>
            <w:tcMar>
              <w:top w:w="0" w:type="dxa"/>
              <w:left w:w="0" w:type="dxa"/>
              <w:bottom w:w="28" w:type="dxa"/>
            </w:tcMar>
            <w:vAlign w:val="bottom"/>
          </w:tcPr>
          <w:p>
            <w:pPr>
              <w:pStyle w:val="TableContents"/>
              <w:bidi w:val="0"/>
              <w:spacing w:before="0" w:after="0"/>
              <w:jc w:val="left"/>
              <w:rPr>
                <w:color w:val="000000"/>
              </w:rPr>
            </w:pPr>
            <w:r>
              <w:rPr>
                <w:color w:val="000000"/>
              </w:rPr>
              <w:t>$</w:t>
            </w:r>
          </w:p>
        </w:tc>
        <w:tc>
          <w:tcPr>
            <w:tcW w:w="1177" w:type="dxa"/>
            <w:tcBorders>
              <w:bottom w:val="double" w:sz="8" w:space="0" w:color="000000"/>
            </w:tcBorders>
            <w:tcMar>
              <w:top w:w="0" w:type="dxa"/>
              <w:left w:w="0" w:type="dxa"/>
              <w:bottom w:w="28" w:type="dxa"/>
            </w:tcMar>
            <w:vAlign w:val="bottom"/>
          </w:tcPr>
          <w:p>
            <w:pPr>
              <w:pStyle w:val="TableContents"/>
              <w:bidi w:val="0"/>
              <w:spacing w:before="0" w:after="0"/>
              <w:jc w:val="right"/>
              <w:rPr>
                <w:color w:val="000000"/>
              </w:rPr>
            </w:pPr>
            <w:r>
              <w:rPr>
                <w:color w:val="000000"/>
              </w:rPr>
              <w:t>28</w:t>
            </w:r>
          </w:p>
        </w:tc>
        <w:tc>
          <w:tcPr>
            <w:tcW w:w="95" w:type="dxa"/>
            <w:tcBorders>
              <w:bottom w:val="double" w:sz="8" w:space="0" w:color="000000"/>
            </w:tcBorders>
            <w:tcMar>
              <w:top w:w="0" w:type="dxa"/>
              <w:left w:w="0" w:type="dxa"/>
              <w:bottom w:w="28" w:type="dxa"/>
            </w:tcMar>
            <w:vAlign w:val="bottom"/>
          </w:tcPr>
          <w:p>
            <w:pPr>
              <w:pStyle w:val="TableContents"/>
              <w:bidi w:val="0"/>
              <w:spacing w:before="0" w:after="283"/>
              <w:jc w:val="left"/>
              <w:rPr/>
            </w:pPr>
            <w:r>
              <w:rPr/>
              <w:t> </w:t>
            </w:r>
          </w:p>
        </w:tc>
        <w:tc>
          <w:tcPr>
            <w:tcW w:w="60" w:type="dxa"/>
            <w:tcBorders>
              <w:bottom w:val="double" w:sz="8" w:space="0" w:color="000000"/>
            </w:tcBorders>
            <w:tcMar>
              <w:top w:w="0" w:type="dxa"/>
              <w:left w:w="0" w:type="dxa"/>
              <w:bottom w:w="28" w:type="dxa"/>
            </w:tcMar>
            <w:vAlign w:val="bottom"/>
          </w:tcPr>
          <w:p>
            <w:pPr>
              <w:pStyle w:val="TableContents"/>
              <w:bidi w:val="0"/>
              <w:spacing w:before="0" w:after="283"/>
              <w:jc w:val="left"/>
              <w:rPr/>
            </w:pPr>
            <w:r>
              <w:rPr/>
              <w:t> </w:t>
            </w:r>
          </w:p>
        </w:tc>
        <w:tc>
          <w:tcPr>
            <w:tcW w:w="160" w:type="dxa"/>
            <w:tcBorders>
              <w:bottom w:val="double" w:sz="8" w:space="0" w:color="000000"/>
            </w:tcBorders>
            <w:tcMar>
              <w:top w:w="0" w:type="dxa"/>
              <w:left w:w="0" w:type="dxa"/>
              <w:bottom w:w="28" w:type="dxa"/>
            </w:tcMar>
            <w:vAlign w:val="bottom"/>
          </w:tcPr>
          <w:p>
            <w:pPr>
              <w:pStyle w:val="TableContents"/>
              <w:bidi w:val="0"/>
              <w:spacing w:before="0" w:after="0"/>
              <w:jc w:val="left"/>
              <w:rPr>
                <w:color w:val="000000"/>
              </w:rPr>
            </w:pPr>
            <w:r>
              <w:rPr>
                <w:color w:val="000000"/>
              </w:rPr>
              <w:t>$</w:t>
            </w:r>
          </w:p>
        </w:tc>
        <w:tc>
          <w:tcPr>
            <w:tcW w:w="1210" w:type="dxa"/>
            <w:tcBorders>
              <w:bottom w:val="double" w:sz="8" w:space="0" w:color="000000"/>
            </w:tcBorders>
            <w:tcMar>
              <w:top w:w="0" w:type="dxa"/>
              <w:left w:w="0" w:type="dxa"/>
              <w:bottom w:w="28" w:type="dxa"/>
            </w:tcMar>
            <w:vAlign w:val="bottom"/>
          </w:tcPr>
          <w:p>
            <w:pPr>
              <w:pStyle w:val="TableContents"/>
              <w:bidi w:val="0"/>
              <w:spacing w:before="0" w:after="0"/>
              <w:jc w:val="right"/>
              <w:rPr>
                <w:color w:val="000000"/>
              </w:rPr>
            </w:pPr>
            <w:r>
              <w:rPr>
                <w:color w:val="000000"/>
              </w:rPr>
              <w:t>(1,479,693</w:t>
            </w:r>
          </w:p>
        </w:tc>
        <w:tc>
          <w:tcPr>
            <w:tcW w:w="95" w:type="dxa"/>
            <w:tcBorders>
              <w:bottom w:val="double" w:sz="8" w:space="0" w:color="000000"/>
            </w:tcBorders>
            <w:tcMar>
              <w:top w:w="0" w:type="dxa"/>
              <w:left w:w="0" w:type="dxa"/>
              <w:bottom w:w="28" w:type="dxa"/>
            </w:tcMar>
            <w:vAlign w:val="bottom"/>
          </w:tcPr>
          <w:p>
            <w:pPr>
              <w:pStyle w:val="TableContents"/>
              <w:bidi w:val="0"/>
              <w:spacing w:before="0" w:after="0"/>
              <w:jc w:val="left"/>
              <w:rPr>
                <w:color w:val="000000"/>
              </w:rPr>
            </w:pPr>
            <w:r>
              <w:rPr>
                <w:color w:val="000000"/>
              </w:rPr>
              <w:t>)</w:t>
            </w:r>
          </w:p>
        </w:tc>
        <w:tc>
          <w:tcPr>
            <w:tcW w:w="60" w:type="dxa"/>
            <w:tcBorders>
              <w:bottom w:val="double" w:sz="8" w:space="0" w:color="000000"/>
            </w:tcBorders>
            <w:tcMar>
              <w:top w:w="0" w:type="dxa"/>
              <w:left w:w="0" w:type="dxa"/>
              <w:bottom w:w="28" w:type="dxa"/>
            </w:tcMar>
            <w:vAlign w:val="bottom"/>
          </w:tcPr>
          <w:p>
            <w:pPr>
              <w:pStyle w:val="TableContents"/>
              <w:bidi w:val="0"/>
              <w:spacing w:before="0" w:after="283"/>
              <w:jc w:val="left"/>
              <w:rPr/>
            </w:pPr>
            <w:r>
              <w:rPr/>
              <w:t> </w:t>
            </w:r>
          </w:p>
        </w:tc>
        <w:tc>
          <w:tcPr>
            <w:tcW w:w="156" w:type="dxa"/>
            <w:tcBorders>
              <w:bottom w:val="double" w:sz="8" w:space="0" w:color="000000"/>
            </w:tcBorders>
            <w:tcMar>
              <w:top w:w="0" w:type="dxa"/>
              <w:left w:w="0" w:type="dxa"/>
              <w:bottom w:w="28" w:type="dxa"/>
            </w:tcMar>
            <w:vAlign w:val="bottom"/>
          </w:tcPr>
          <w:p>
            <w:pPr>
              <w:pStyle w:val="TableContents"/>
              <w:bidi w:val="0"/>
              <w:spacing w:before="0" w:after="0"/>
              <w:jc w:val="left"/>
              <w:rPr>
                <w:color w:val="000000"/>
              </w:rPr>
            </w:pPr>
            <w:r>
              <w:rPr>
                <w:color w:val="000000"/>
              </w:rPr>
              <w:t>$</w:t>
            </w:r>
          </w:p>
        </w:tc>
        <w:tc>
          <w:tcPr>
            <w:tcW w:w="1184" w:type="dxa"/>
            <w:tcBorders>
              <w:bottom w:val="double" w:sz="8" w:space="0" w:color="000000"/>
            </w:tcBorders>
            <w:tcMar>
              <w:top w:w="0" w:type="dxa"/>
              <w:left w:w="0" w:type="dxa"/>
              <w:bottom w:w="28" w:type="dxa"/>
            </w:tcMar>
            <w:vAlign w:val="bottom"/>
          </w:tcPr>
          <w:p>
            <w:pPr>
              <w:pStyle w:val="TableContents"/>
              <w:bidi w:val="0"/>
              <w:spacing w:before="0" w:after="0"/>
              <w:jc w:val="right"/>
              <w:rPr>
                <w:color w:val="000000"/>
              </w:rPr>
            </w:pPr>
            <w:r>
              <w:rPr>
                <w:color w:val="000000"/>
              </w:rPr>
              <w:t>(1,390,191</w:t>
            </w:r>
          </w:p>
        </w:tc>
        <w:tc>
          <w:tcPr>
            <w:tcW w:w="95" w:type="dxa"/>
            <w:tcBorders>
              <w:bottom w:val="double" w:sz="8" w:space="0" w:color="000000"/>
              <w:right w:val="single" w:sz="12" w:space="0" w:color="000000"/>
            </w:tcBorders>
            <w:tcMar>
              <w:top w:w="0" w:type="dxa"/>
              <w:left w:w="0" w:type="dxa"/>
              <w:bottom w:w="28" w:type="dxa"/>
              <w:right w:w="28" w:type="dxa"/>
            </w:tcMar>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z4dc8795595e34f7d9dea534208e2d58e"/>
      <w:bookmarkStart w:id="23" w:name="z4dc8795595e34f7d9dea534208e2d58e"/>
      <w:bookmarkEnd w:id="23"/>
    </w:p>
    <w:tbl>
      <w:tblPr>
        <w:tblW w:w="16750" w:type="dxa"/>
        <w:jc w:val="left"/>
        <w:tblInd w:w="-15" w:type="dxa"/>
        <w:tblLayout w:type="fixed"/>
        <w:tblCellMar>
          <w:top w:w="28" w:type="dxa"/>
          <w:left w:w="28" w:type="dxa"/>
          <w:bottom w:w="0" w:type="dxa"/>
          <w:right w:w="0" w:type="dxa"/>
        </w:tblCellMar>
      </w:tblPr>
      <w:tblGrid>
        <w:gridCol w:w="4655"/>
        <w:gridCol w:w="60"/>
        <w:gridCol w:w="60"/>
        <w:gridCol w:w="1220"/>
        <w:gridCol w:w="60"/>
        <w:gridCol w:w="60"/>
        <w:gridCol w:w="140"/>
        <w:gridCol w:w="980"/>
        <w:gridCol w:w="60"/>
        <w:gridCol w:w="60"/>
        <w:gridCol w:w="60"/>
        <w:gridCol w:w="1100"/>
        <w:gridCol w:w="60"/>
        <w:gridCol w:w="60"/>
        <w:gridCol w:w="301"/>
        <w:gridCol w:w="559"/>
        <w:gridCol w:w="95"/>
        <w:gridCol w:w="60"/>
        <w:gridCol w:w="187"/>
        <w:gridCol w:w="913"/>
        <w:gridCol w:w="95"/>
        <w:gridCol w:w="60"/>
        <w:gridCol w:w="174"/>
        <w:gridCol w:w="791"/>
        <w:gridCol w:w="95"/>
        <w:gridCol w:w="60"/>
        <w:gridCol w:w="433"/>
        <w:gridCol w:w="1177"/>
        <w:gridCol w:w="95"/>
        <w:gridCol w:w="60"/>
        <w:gridCol w:w="160"/>
        <w:gridCol w:w="1210"/>
        <w:gridCol w:w="95"/>
        <w:gridCol w:w="60"/>
        <w:gridCol w:w="156"/>
        <w:gridCol w:w="1184"/>
        <w:gridCol w:w="95"/>
      </w:tblGrid>
      <w:tr>
        <w:trPr/>
        <w:tc>
          <w:tcPr>
            <w:tcW w:w="4655" w:type="dxa"/>
            <w:tcBorders>
              <w:top w:val="single" w:sz="12" w:space="0" w:color="000000"/>
              <w:left w:val="single" w:sz="12" w:space="0" w:color="000000"/>
            </w:tcBorders>
            <w:vAlign w:val="bottom"/>
          </w:tcPr>
          <w:p>
            <w:pPr>
              <w:pStyle w:val="TableContents"/>
              <w:bidi w:val="0"/>
              <w:spacing w:before="0" w:after="283"/>
              <w:jc w:val="left"/>
              <w:rPr/>
            </w:pPr>
            <w:r>
              <w:rPr/>
              <w:t> </w:t>
            </w:r>
          </w:p>
        </w:tc>
        <w:tc>
          <w:tcPr>
            <w:tcW w:w="60" w:type="dxa"/>
            <w:tcBorders>
              <w:top w:val="single" w:sz="12" w:space="0" w:color="000000"/>
            </w:tcBorders>
            <w:tcMar>
              <w:left w:w="0" w:type="dxa"/>
            </w:tcMar>
            <w:vAlign w:val="bottom"/>
          </w:tcPr>
          <w:p>
            <w:pPr>
              <w:pStyle w:val="TableContents"/>
              <w:bidi w:val="0"/>
              <w:spacing w:before="0" w:after="283"/>
              <w:jc w:val="left"/>
              <w:rPr/>
            </w:pPr>
            <w:r>
              <w:rPr/>
              <w:t> </w:t>
            </w:r>
          </w:p>
        </w:tc>
        <w:tc>
          <w:tcPr>
            <w:tcW w:w="11940" w:type="dxa"/>
            <w:gridSpan w:val="34"/>
            <w:tcBorders>
              <w:top w:val="single" w:sz="12" w:space="0" w:color="000000"/>
              <w:bottom w:val="single" w:sz="12" w:space="0" w:color="000000"/>
            </w:tcBorders>
            <w:tcMar>
              <w:left w:w="0" w:type="dxa"/>
              <w:bottom w:w="28" w:type="dxa"/>
            </w:tcMar>
            <w:vAlign w:val="bottom"/>
          </w:tcPr>
          <w:p>
            <w:pPr>
              <w:pStyle w:val="TableContents"/>
              <w:bidi w:val="0"/>
              <w:spacing w:before="0" w:after="0"/>
              <w:jc w:val="center"/>
              <w:rPr>
                <w:b/>
                <w:color w:val="000000"/>
              </w:rPr>
            </w:pPr>
            <w:r>
              <w:rPr>
                <w:b/>
                <w:color w:val="000000"/>
              </w:rPr>
              <w:t>Six Months Ended June 30, 2025</w:t>
            </w:r>
          </w:p>
        </w:tc>
        <w:tc>
          <w:tcPr>
            <w:tcW w:w="95" w:type="dxa"/>
            <w:tcBorders>
              <w:top w:val="single" w:sz="12" w:space="0" w:color="000000"/>
              <w:bottom w:val="single" w:sz="12" w:space="0" w:color="000000"/>
              <w:right w:val="single" w:sz="12" w:space="0" w:color="000000"/>
            </w:tcBorders>
            <w:tcMar>
              <w:left w:w="0" w:type="dxa"/>
              <w:bottom w:w="28" w:type="dxa"/>
              <w:right w:w="28" w:type="dxa"/>
            </w:tcMar>
            <w:vAlign w:val="bottom"/>
          </w:tcPr>
          <w:p>
            <w:pPr>
              <w:pStyle w:val="TableContents"/>
              <w:bidi w:val="0"/>
              <w:spacing w:before="0" w:after="283"/>
              <w:jc w:val="left"/>
              <w:rPr/>
            </w:pPr>
            <w:r>
              <w:rPr/>
              <w:t> </w:t>
            </w:r>
          </w:p>
        </w:tc>
      </w:tr>
      <w:tr>
        <w:trPr/>
        <w:tc>
          <w:tcPr>
            <w:tcW w:w="4655" w:type="dxa"/>
            <w:tcBorders>
              <w:left w:val="single" w:sz="12" w:space="0" w:color="000000"/>
            </w:tcBorders>
            <w:tcMar>
              <w:top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2520" w:type="dxa"/>
            <w:gridSpan w:val="6"/>
            <w:tcBorders>
              <w:bottom w:val="single" w:sz="12" w:space="0" w:color="000000"/>
            </w:tcBorders>
            <w:tcMar>
              <w:top w:w="0" w:type="dxa"/>
              <w:left w:w="0" w:type="dxa"/>
              <w:bottom w:w="28" w:type="dxa"/>
            </w:tcMar>
            <w:vAlign w:val="bottom"/>
          </w:tcPr>
          <w:p>
            <w:pPr>
              <w:pStyle w:val="TableContents"/>
              <w:bidi w:val="0"/>
              <w:spacing w:before="0" w:after="0"/>
              <w:jc w:val="center"/>
              <w:rPr>
                <w:b/>
                <w:color w:val="000000"/>
              </w:rPr>
            </w:pPr>
            <w:r>
              <w:rPr>
                <w:b/>
                <w:color w:val="000000"/>
              </w:rPr>
              <w:t>Convertible</w:t>
            </w:r>
          </w:p>
          <w:p>
            <w:pPr>
              <w:pStyle w:val="TableContents"/>
              <w:bidi w:val="0"/>
              <w:spacing w:before="0" w:after="0"/>
              <w:jc w:val="center"/>
              <w:rPr>
                <w:b/>
                <w:color w:val="000000"/>
              </w:rPr>
            </w:pPr>
            <w:r>
              <w:rPr>
                <w:b/>
                <w:color w:val="000000"/>
              </w:rPr>
              <w:t>Preferred Stock</w:t>
            </w:r>
          </w:p>
        </w:tc>
        <w:tc>
          <w:tcPr>
            <w:tcW w:w="60" w:type="dxa"/>
            <w:tcBorders/>
            <w:tcMar>
              <w:top w:w="0" w:type="dxa"/>
              <w:left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2140" w:type="dxa"/>
            <w:gridSpan w:val="6"/>
            <w:tcBorders>
              <w:bottom w:val="single" w:sz="12" w:space="0" w:color="000000"/>
            </w:tcBorders>
            <w:tcMar>
              <w:top w:w="0" w:type="dxa"/>
              <w:left w:w="0" w:type="dxa"/>
              <w:bottom w:w="28" w:type="dxa"/>
            </w:tcMar>
            <w:vAlign w:val="bottom"/>
          </w:tcPr>
          <w:p>
            <w:pPr>
              <w:pStyle w:val="TableContents"/>
              <w:bidi w:val="0"/>
              <w:spacing w:before="0" w:after="0"/>
              <w:jc w:val="center"/>
              <w:rPr>
                <w:b/>
                <w:color w:val="000000"/>
              </w:rPr>
            </w:pPr>
            <w:r>
              <w:rPr>
                <w:b/>
                <w:color w:val="000000"/>
              </w:rPr>
              <w:t>Common Stock</w:t>
            </w:r>
          </w:p>
        </w:tc>
        <w:tc>
          <w:tcPr>
            <w:tcW w:w="95" w:type="dxa"/>
            <w:tcBorders/>
            <w:tcMar>
              <w:top w:w="0" w:type="dxa"/>
              <w:left w:w="0" w:type="dxa"/>
            </w:tcMar>
            <w:vAlign w:val="bottom"/>
          </w:tcPr>
          <w:p>
            <w:pPr>
              <w:pStyle w:val="TableContents"/>
              <w:bidi w:val="0"/>
              <w:spacing w:before="0" w:after="283"/>
              <w:jc w:val="left"/>
              <w:rPr/>
            </w:pPr>
            <w:r>
              <w:rPr/>
              <w:t> </w:t>
            </w:r>
          </w:p>
        </w:tc>
        <w:tc>
          <w:tcPr>
            <w:tcW w:w="60" w:type="dxa"/>
            <w:vMerge w:val="restart"/>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1100" w:type="dxa"/>
            <w:gridSpan w:val="2"/>
            <w:vMerge w:val="restart"/>
            <w:tcBorders>
              <w:bottom w:val="single" w:sz="12" w:space="0" w:color="000000"/>
            </w:tcBorders>
            <w:tcMar>
              <w:top w:w="0" w:type="dxa"/>
              <w:left w:w="0" w:type="dxa"/>
              <w:bottom w:w="28" w:type="dxa"/>
            </w:tcMar>
            <w:vAlign w:val="bottom"/>
          </w:tcPr>
          <w:p>
            <w:pPr>
              <w:pStyle w:val="TableContents"/>
              <w:bidi w:val="0"/>
              <w:spacing w:before="0" w:after="0"/>
              <w:jc w:val="center"/>
              <w:rPr>
                <w:b/>
                <w:color w:val="000000"/>
              </w:rPr>
            </w:pPr>
            <w:r>
              <w:rPr>
                <w:b/>
                <w:color w:val="000000"/>
              </w:rPr>
              <w:t>Additional</w:t>
            </w:r>
          </w:p>
          <w:p>
            <w:pPr>
              <w:pStyle w:val="TableContents"/>
              <w:bidi w:val="0"/>
              <w:spacing w:before="0" w:after="0"/>
              <w:jc w:val="center"/>
              <w:rPr>
                <w:b/>
                <w:color w:val="000000"/>
              </w:rPr>
            </w:pPr>
            <w:r>
              <w:rPr>
                <w:b/>
                <w:color w:val="000000"/>
              </w:rPr>
              <w:t>Paid-in</w:t>
            </w:r>
          </w:p>
          <w:p>
            <w:pPr>
              <w:pStyle w:val="TableContents"/>
              <w:bidi w:val="0"/>
              <w:spacing w:before="0" w:after="0"/>
              <w:jc w:val="center"/>
              <w:rPr>
                <w:b/>
                <w:color w:val="000000"/>
              </w:rPr>
            </w:pPr>
            <w:r>
              <w:rPr>
                <w:b/>
                <w:color w:val="000000"/>
              </w:rPr>
              <w:t>Capital</w:t>
            </w:r>
          </w:p>
        </w:tc>
        <w:tc>
          <w:tcPr>
            <w:tcW w:w="95" w:type="dxa"/>
            <w:vMerge w:val="restart"/>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60" w:type="dxa"/>
            <w:vMerge w:val="restart"/>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965" w:type="dxa"/>
            <w:gridSpan w:val="2"/>
            <w:vMerge w:val="restart"/>
            <w:tcBorders>
              <w:bottom w:val="single" w:sz="12" w:space="0" w:color="000000"/>
            </w:tcBorders>
            <w:tcMar>
              <w:top w:w="0" w:type="dxa"/>
              <w:left w:w="0" w:type="dxa"/>
              <w:bottom w:w="28" w:type="dxa"/>
            </w:tcMar>
            <w:vAlign w:val="bottom"/>
          </w:tcPr>
          <w:p>
            <w:pPr>
              <w:pStyle w:val="TableContents"/>
              <w:bidi w:val="0"/>
              <w:spacing w:before="0" w:after="0"/>
              <w:jc w:val="center"/>
              <w:rPr>
                <w:b/>
                <w:color w:val="000000"/>
              </w:rPr>
            </w:pPr>
            <w:r>
              <w:rPr>
                <w:b/>
                <w:color w:val="000000"/>
              </w:rPr>
              <w:t>Treasury</w:t>
            </w:r>
          </w:p>
          <w:p>
            <w:pPr>
              <w:pStyle w:val="TableContents"/>
              <w:bidi w:val="0"/>
              <w:spacing w:before="0" w:after="0"/>
              <w:jc w:val="center"/>
              <w:rPr>
                <w:b/>
                <w:color w:val="000000"/>
              </w:rPr>
            </w:pPr>
            <w:r>
              <w:rPr>
                <w:b/>
                <w:color w:val="000000"/>
              </w:rPr>
              <w:t>Stock</w:t>
            </w:r>
          </w:p>
        </w:tc>
        <w:tc>
          <w:tcPr>
            <w:tcW w:w="95" w:type="dxa"/>
            <w:vMerge w:val="restart"/>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60" w:type="dxa"/>
            <w:vMerge w:val="restart"/>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1610" w:type="dxa"/>
            <w:gridSpan w:val="2"/>
            <w:vMerge w:val="restart"/>
            <w:tcBorders>
              <w:bottom w:val="single" w:sz="12" w:space="0" w:color="000000"/>
            </w:tcBorders>
            <w:tcMar>
              <w:top w:w="0" w:type="dxa"/>
              <w:left w:w="0" w:type="dxa"/>
              <w:bottom w:w="28" w:type="dxa"/>
            </w:tcMar>
            <w:vAlign w:val="bottom"/>
          </w:tcPr>
          <w:p>
            <w:pPr>
              <w:pStyle w:val="TableContents"/>
              <w:bidi w:val="0"/>
              <w:spacing w:before="0" w:after="0"/>
              <w:jc w:val="center"/>
              <w:rPr>
                <w:b/>
                <w:color w:val="000000"/>
              </w:rPr>
            </w:pPr>
            <w:r>
              <w:rPr>
                <w:b/>
                <w:color w:val="000000"/>
              </w:rPr>
              <w:t>Accumulated</w:t>
            </w:r>
          </w:p>
          <w:p>
            <w:pPr>
              <w:pStyle w:val="TableContents"/>
              <w:bidi w:val="0"/>
              <w:spacing w:before="0" w:after="0"/>
              <w:jc w:val="center"/>
              <w:rPr>
                <w:b/>
                <w:color w:val="000000"/>
              </w:rPr>
            </w:pPr>
            <w:r>
              <w:rPr>
                <w:b/>
                <w:color w:val="000000"/>
              </w:rPr>
              <w:t>Other</w:t>
            </w:r>
          </w:p>
          <w:p>
            <w:pPr>
              <w:pStyle w:val="TableContents"/>
              <w:bidi w:val="0"/>
              <w:spacing w:before="0" w:after="0"/>
              <w:jc w:val="center"/>
              <w:rPr>
                <w:b/>
                <w:color w:val="000000"/>
              </w:rPr>
            </w:pPr>
            <w:r>
              <w:rPr>
                <w:b/>
                <w:color w:val="000000"/>
              </w:rPr>
              <w:t>Comprehensive</w:t>
            </w:r>
          </w:p>
          <w:p>
            <w:pPr>
              <w:pStyle w:val="TableContents"/>
              <w:bidi w:val="0"/>
              <w:spacing w:before="0" w:after="0"/>
              <w:jc w:val="center"/>
              <w:rPr>
                <w:b/>
                <w:color w:val="000000"/>
              </w:rPr>
            </w:pPr>
            <w:r>
              <w:rPr>
                <w:b/>
                <w:color w:val="000000"/>
              </w:rPr>
              <w:t>Gain (Loss)</w:t>
            </w:r>
          </w:p>
        </w:tc>
        <w:tc>
          <w:tcPr>
            <w:tcW w:w="95" w:type="dxa"/>
            <w:vMerge w:val="restart"/>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60" w:type="dxa"/>
            <w:vMerge w:val="restart"/>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1370" w:type="dxa"/>
            <w:gridSpan w:val="2"/>
            <w:vMerge w:val="restart"/>
            <w:tcBorders>
              <w:bottom w:val="single" w:sz="12" w:space="0" w:color="000000"/>
            </w:tcBorders>
            <w:tcMar>
              <w:top w:w="0" w:type="dxa"/>
              <w:left w:w="0" w:type="dxa"/>
              <w:bottom w:w="28" w:type="dxa"/>
            </w:tcMar>
            <w:vAlign w:val="bottom"/>
          </w:tcPr>
          <w:p>
            <w:pPr>
              <w:pStyle w:val="TableContents"/>
              <w:bidi w:val="0"/>
              <w:spacing w:before="0" w:after="0"/>
              <w:jc w:val="center"/>
              <w:rPr>
                <w:b/>
                <w:color w:val="000000"/>
              </w:rPr>
            </w:pPr>
            <w:r>
              <w:rPr>
                <w:b/>
                <w:color w:val="000000"/>
              </w:rPr>
              <w:t>Accumulated</w:t>
            </w:r>
          </w:p>
          <w:p>
            <w:pPr>
              <w:pStyle w:val="TableContents"/>
              <w:bidi w:val="0"/>
              <w:spacing w:before="0" w:after="0"/>
              <w:jc w:val="center"/>
              <w:rPr>
                <w:b/>
                <w:color w:val="000000"/>
              </w:rPr>
            </w:pPr>
            <w:r>
              <w:rPr>
                <w:b/>
                <w:color w:val="000000"/>
              </w:rPr>
              <w:t>Deficit</w:t>
            </w:r>
          </w:p>
        </w:tc>
        <w:tc>
          <w:tcPr>
            <w:tcW w:w="95" w:type="dxa"/>
            <w:vMerge w:val="restart"/>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60" w:type="dxa"/>
            <w:vMerge w:val="restart"/>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1340" w:type="dxa"/>
            <w:gridSpan w:val="2"/>
            <w:vMerge w:val="restart"/>
            <w:tcBorders>
              <w:bottom w:val="single" w:sz="12" w:space="0" w:color="000000"/>
            </w:tcBorders>
            <w:tcMar>
              <w:top w:w="0" w:type="dxa"/>
              <w:left w:w="0" w:type="dxa"/>
              <w:bottom w:w="28" w:type="dxa"/>
            </w:tcMar>
            <w:vAlign w:val="bottom"/>
          </w:tcPr>
          <w:p>
            <w:pPr>
              <w:pStyle w:val="TableContents"/>
              <w:bidi w:val="0"/>
              <w:spacing w:before="0" w:after="0"/>
              <w:jc w:val="center"/>
              <w:rPr>
                <w:b/>
                <w:color w:val="000000"/>
              </w:rPr>
            </w:pPr>
            <w:r>
              <w:rPr>
                <w:b/>
                <w:color w:val="000000"/>
              </w:rPr>
              <w:t>Total</w:t>
            </w:r>
          </w:p>
          <w:p>
            <w:pPr>
              <w:pStyle w:val="TableContents"/>
              <w:bidi w:val="0"/>
              <w:spacing w:before="0" w:after="0"/>
              <w:jc w:val="center"/>
              <w:rPr>
                <w:b/>
                <w:color w:val="000000"/>
              </w:rPr>
            </w:pPr>
            <w:r>
              <w:rPr>
                <w:b/>
                <w:color w:val="000000"/>
              </w:rPr>
              <w:t>Stockholders’</w:t>
            </w:r>
          </w:p>
          <w:p>
            <w:pPr>
              <w:pStyle w:val="TableContents"/>
              <w:bidi w:val="0"/>
              <w:spacing w:before="0" w:after="0"/>
              <w:jc w:val="center"/>
              <w:rPr>
                <w:b/>
                <w:color w:val="000000"/>
              </w:rPr>
            </w:pPr>
            <w:r>
              <w:rPr>
                <w:b/>
                <w:color w:val="000000"/>
              </w:rPr>
              <w:t>Deficit</w:t>
            </w:r>
          </w:p>
        </w:tc>
        <w:tc>
          <w:tcPr>
            <w:tcW w:w="95" w:type="dxa"/>
            <w:vMerge w:val="restart"/>
            <w:tcBorders>
              <w:bottom w:val="single" w:sz="12" w:space="0" w:color="000000"/>
              <w:right w:val="single" w:sz="12" w:space="0" w:color="000000"/>
            </w:tcBorders>
            <w:tcMar>
              <w:top w:w="0" w:type="dxa"/>
              <w:left w:w="0" w:type="dxa"/>
              <w:bottom w:w="28" w:type="dxa"/>
              <w:right w:w="28" w:type="dxa"/>
            </w:tcMar>
            <w:vAlign w:val="bottom"/>
          </w:tcPr>
          <w:p>
            <w:pPr>
              <w:pStyle w:val="TableContents"/>
              <w:bidi w:val="0"/>
              <w:spacing w:before="0" w:after="283"/>
              <w:jc w:val="left"/>
              <w:rPr/>
            </w:pPr>
            <w:r>
              <w:rPr/>
              <w:t> </w:t>
            </w:r>
          </w:p>
        </w:tc>
      </w:tr>
      <w:tr>
        <w:trPr/>
        <w:tc>
          <w:tcPr>
            <w:tcW w:w="4655" w:type="dxa"/>
            <w:tcBorders>
              <w:left w:val="single" w:sz="12" w:space="0" w:color="000000"/>
              <w:bottom w:val="single" w:sz="12" w:space="0" w:color="000000"/>
            </w:tcBorders>
            <w:tcMar>
              <w:top w:w="0" w:type="dxa"/>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1280" w:type="dxa"/>
            <w:gridSpan w:val="2"/>
            <w:tcBorders>
              <w:bottom w:val="single" w:sz="12" w:space="0" w:color="000000"/>
            </w:tcBorders>
            <w:tcMar>
              <w:top w:w="0" w:type="dxa"/>
              <w:left w:w="0" w:type="dxa"/>
              <w:bottom w:w="28" w:type="dxa"/>
            </w:tcMar>
            <w:vAlign w:val="bottom"/>
          </w:tcPr>
          <w:p>
            <w:pPr>
              <w:pStyle w:val="TableContents"/>
              <w:bidi w:val="0"/>
              <w:spacing w:before="0" w:after="0"/>
              <w:jc w:val="center"/>
              <w:rPr>
                <w:b/>
                <w:color w:val="000000"/>
              </w:rPr>
            </w:pPr>
            <w:r>
              <w:rPr>
                <w:b/>
                <w:color w:val="000000"/>
              </w:rPr>
              <w:t>Shares</w:t>
            </w:r>
          </w:p>
        </w:tc>
        <w:tc>
          <w:tcPr>
            <w:tcW w:w="60" w:type="dxa"/>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1120" w:type="dxa"/>
            <w:gridSpan w:val="2"/>
            <w:tcBorders>
              <w:bottom w:val="single" w:sz="12" w:space="0" w:color="000000"/>
            </w:tcBorders>
            <w:tcMar>
              <w:top w:w="0" w:type="dxa"/>
              <w:left w:w="0" w:type="dxa"/>
              <w:bottom w:w="28" w:type="dxa"/>
            </w:tcMar>
            <w:vAlign w:val="bottom"/>
          </w:tcPr>
          <w:p>
            <w:pPr>
              <w:pStyle w:val="TableContents"/>
              <w:bidi w:val="0"/>
              <w:spacing w:before="0" w:after="0"/>
              <w:jc w:val="center"/>
              <w:rPr>
                <w:b/>
                <w:color w:val="000000"/>
              </w:rPr>
            </w:pPr>
            <w:r>
              <w:rPr>
                <w:b/>
                <w:color w:val="000000"/>
              </w:rPr>
              <w:t>Amount</w:t>
            </w:r>
          </w:p>
        </w:tc>
        <w:tc>
          <w:tcPr>
            <w:tcW w:w="60" w:type="dxa"/>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60" w:type="dxa"/>
            <w:tcBorders>
              <w:left w:val="single" w:sz="12" w:space="0" w:color="000000"/>
              <w:bottom w:val="single" w:sz="12" w:space="0" w:color="000000"/>
            </w:tcBorders>
            <w:tcMar>
              <w:top w:w="0" w:type="dxa"/>
              <w:bottom w:w="28" w:type="dxa"/>
            </w:tcMar>
            <w:vAlign w:val="bottom"/>
          </w:tcPr>
          <w:p>
            <w:pPr>
              <w:pStyle w:val="TableContents"/>
              <w:bidi w:val="0"/>
              <w:spacing w:before="0" w:after="283"/>
              <w:jc w:val="left"/>
              <w:rPr/>
            </w:pPr>
            <w:r>
              <w:rPr/>
              <w:t> </w:t>
            </w:r>
          </w:p>
        </w:tc>
        <w:tc>
          <w:tcPr>
            <w:tcW w:w="1160" w:type="dxa"/>
            <w:gridSpan w:val="2"/>
            <w:tcBorders>
              <w:bottom w:val="single" w:sz="12" w:space="0" w:color="000000"/>
            </w:tcBorders>
            <w:tcMar>
              <w:top w:w="0" w:type="dxa"/>
              <w:left w:w="0" w:type="dxa"/>
              <w:bottom w:w="28" w:type="dxa"/>
            </w:tcMar>
            <w:vAlign w:val="bottom"/>
          </w:tcPr>
          <w:p>
            <w:pPr>
              <w:pStyle w:val="TableContents"/>
              <w:bidi w:val="0"/>
              <w:spacing w:before="0" w:after="0"/>
              <w:jc w:val="center"/>
              <w:rPr>
                <w:b/>
                <w:color w:val="000000"/>
              </w:rPr>
            </w:pPr>
            <w:r>
              <w:rPr>
                <w:b/>
                <w:color w:val="000000"/>
              </w:rPr>
              <w:t>Shares</w:t>
            </w:r>
          </w:p>
        </w:tc>
        <w:tc>
          <w:tcPr>
            <w:tcW w:w="60" w:type="dxa"/>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860" w:type="dxa"/>
            <w:gridSpan w:val="2"/>
            <w:tcBorders>
              <w:bottom w:val="single" w:sz="12" w:space="0" w:color="000000"/>
            </w:tcBorders>
            <w:tcMar>
              <w:top w:w="0" w:type="dxa"/>
              <w:left w:w="0" w:type="dxa"/>
              <w:bottom w:w="28" w:type="dxa"/>
            </w:tcMar>
            <w:vAlign w:val="bottom"/>
          </w:tcPr>
          <w:p>
            <w:pPr>
              <w:pStyle w:val="TableContents"/>
              <w:bidi w:val="0"/>
              <w:spacing w:before="0" w:after="0"/>
              <w:jc w:val="center"/>
              <w:rPr>
                <w:b/>
                <w:color w:val="000000"/>
              </w:rPr>
            </w:pPr>
            <w:r>
              <w:rPr>
                <w:b/>
                <w:color w:val="000000"/>
              </w:rPr>
              <w:t>Amount</w:t>
            </w:r>
          </w:p>
        </w:tc>
        <w:tc>
          <w:tcPr>
            <w:tcW w:w="95" w:type="dxa"/>
            <w:tcBorders>
              <w:bottom w:val="single" w:sz="12" w:space="0" w:color="000000"/>
            </w:tcBorders>
            <w:tcMar>
              <w:top w:w="0" w:type="dxa"/>
              <w:left w:w="0" w:type="dxa"/>
              <w:bottom w:w="28" w:type="dxa"/>
            </w:tcMar>
            <w:vAlign w:val="bottom"/>
          </w:tcPr>
          <w:p>
            <w:pPr>
              <w:pStyle w:val="TableContents"/>
              <w:bidi w:val="0"/>
              <w:spacing w:before="0" w:after="283"/>
              <w:jc w:val="left"/>
              <w:rPr/>
            </w:pPr>
            <w:r>
              <w:rPr/>
              <w:t> </w:t>
            </w:r>
          </w:p>
        </w:tc>
        <w:tc>
          <w:tcPr>
            <w:tcW w:w="60" w:type="dxa"/>
            <w:vMerge w:val="continue"/>
            <w:tcBorders>
              <w:bottom w:val="single" w:sz="12" w:space="0" w:color="000000"/>
            </w:tcBorders>
            <w:tcMar>
              <w:top w:w="0" w:type="dxa"/>
              <w:left w:w="0" w:type="dxa"/>
              <w:bottom w:w="28" w:type="dxa"/>
            </w:tcMar>
            <w:vAlign w:val="bottom"/>
          </w:tcPr>
          <w:p>
            <w:pPr>
              <w:pStyle w:val="Normal"/>
              <w:bidi w:val="0"/>
              <w:jc w:val="left"/>
              <w:rPr/>
            </w:pPr>
            <w:r>
              <w:rPr/>
            </w:r>
          </w:p>
        </w:tc>
        <w:tc>
          <w:tcPr>
            <w:tcW w:w="1100" w:type="dxa"/>
            <w:gridSpan w:val="2"/>
            <w:vMerge w:val="continue"/>
            <w:tcBorders>
              <w:bottom w:val="single" w:sz="12" w:space="0" w:color="000000"/>
            </w:tcBorders>
            <w:tcMar>
              <w:top w:w="0" w:type="dxa"/>
              <w:left w:w="0" w:type="dxa"/>
              <w:bottom w:w="28" w:type="dxa"/>
            </w:tcMar>
            <w:vAlign w:val="bottom"/>
          </w:tcPr>
          <w:p>
            <w:pPr>
              <w:pStyle w:val="Normal"/>
              <w:bidi w:val="0"/>
              <w:jc w:val="left"/>
              <w:rPr/>
            </w:pPr>
            <w:r>
              <w:rPr/>
            </w:r>
          </w:p>
        </w:tc>
        <w:tc>
          <w:tcPr>
            <w:tcW w:w="95" w:type="dxa"/>
            <w:vMerge w:val="continue"/>
            <w:tcBorders>
              <w:bottom w:val="single" w:sz="12" w:space="0" w:color="000000"/>
            </w:tcBorders>
            <w:tcMar>
              <w:top w:w="0" w:type="dxa"/>
              <w:left w:w="0" w:type="dxa"/>
              <w:bottom w:w="28" w:type="dxa"/>
            </w:tcMar>
            <w:vAlign w:val="bottom"/>
          </w:tcPr>
          <w:p>
            <w:pPr>
              <w:pStyle w:val="Normal"/>
              <w:bidi w:val="0"/>
              <w:jc w:val="left"/>
              <w:rPr/>
            </w:pPr>
            <w:r>
              <w:rPr/>
            </w:r>
          </w:p>
        </w:tc>
        <w:tc>
          <w:tcPr>
            <w:tcW w:w="60" w:type="dxa"/>
            <w:vMerge w:val="continue"/>
            <w:tcBorders>
              <w:bottom w:val="single" w:sz="12" w:space="0" w:color="000000"/>
            </w:tcBorders>
            <w:tcMar>
              <w:top w:w="0" w:type="dxa"/>
              <w:left w:w="0" w:type="dxa"/>
              <w:bottom w:w="28" w:type="dxa"/>
            </w:tcMar>
            <w:vAlign w:val="bottom"/>
          </w:tcPr>
          <w:p>
            <w:pPr>
              <w:pStyle w:val="Normal"/>
              <w:bidi w:val="0"/>
              <w:jc w:val="left"/>
              <w:rPr/>
            </w:pPr>
            <w:r>
              <w:rPr/>
            </w:r>
          </w:p>
        </w:tc>
        <w:tc>
          <w:tcPr>
            <w:tcW w:w="965" w:type="dxa"/>
            <w:gridSpan w:val="2"/>
            <w:vMerge w:val="continue"/>
            <w:tcBorders>
              <w:bottom w:val="single" w:sz="12" w:space="0" w:color="000000"/>
            </w:tcBorders>
            <w:tcMar>
              <w:top w:w="0" w:type="dxa"/>
              <w:left w:w="0" w:type="dxa"/>
              <w:bottom w:w="28" w:type="dxa"/>
            </w:tcMar>
            <w:vAlign w:val="bottom"/>
          </w:tcPr>
          <w:p>
            <w:pPr>
              <w:pStyle w:val="Normal"/>
              <w:bidi w:val="0"/>
              <w:jc w:val="left"/>
              <w:rPr/>
            </w:pPr>
            <w:r>
              <w:rPr/>
            </w:r>
          </w:p>
        </w:tc>
        <w:tc>
          <w:tcPr>
            <w:tcW w:w="95" w:type="dxa"/>
            <w:vMerge w:val="continue"/>
            <w:tcBorders>
              <w:bottom w:val="single" w:sz="12" w:space="0" w:color="000000"/>
            </w:tcBorders>
            <w:tcMar>
              <w:top w:w="0" w:type="dxa"/>
              <w:left w:w="0" w:type="dxa"/>
              <w:bottom w:w="28" w:type="dxa"/>
            </w:tcMar>
            <w:vAlign w:val="bottom"/>
          </w:tcPr>
          <w:p>
            <w:pPr>
              <w:pStyle w:val="Normal"/>
              <w:bidi w:val="0"/>
              <w:jc w:val="left"/>
              <w:rPr/>
            </w:pPr>
            <w:r>
              <w:rPr/>
            </w:r>
          </w:p>
        </w:tc>
        <w:tc>
          <w:tcPr>
            <w:tcW w:w="60" w:type="dxa"/>
            <w:vMerge w:val="continue"/>
            <w:tcBorders>
              <w:bottom w:val="single" w:sz="12" w:space="0" w:color="000000"/>
            </w:tcBorders>
            <w:tcMar>
              <w:top w:w="0" w:type="dxa"/>
              <w:left w:w="0" w:type="dxa"/>
              <w:bottom w:w="28" w:type="dxa"/>
            </w:tcMar>
            <w:vAlign w:val="bottom"/>
          </w:tcPr>
          <w:p>
            <w:pPr>
              <w:pStyle w:val="Normal"/>
              <w:bidi w:val="0"/>
              <w:jc w:val="left"/>
              <w:rPr/>
            </w:pPr>
            <w:r>
              <w:rPr/>
            </w:r>
          </w:p>
        </w:tc>
        <w:tc>
          <w:tcPr>
            <w:tcW w:w="1610" w:type="dxa"/>
            <w:gridSpan w:val="2"/>
            <w:vMerge w:val="continue"/>
            <w:tcBorders>
              <w:bottom w:val="single" w:sz="12" w:space="0" w:color="000000"/>
            </w:tcBorders>
            <w:tcMar>
              <w:top w:w="0" w:type="dxa"/>
              <w:left w:w="0" w:type="dxa"/>
              <w:bottom w:w="28" w:type="dxa"/>
            </w:tcMar>
            <w:vAlign w:val="bottom"/>
          </w:tcPr>
          <w:p>
            <w:pPr>
              <w:pStyle w:val="Normal"/>
              <w:bidi w:val="0"/>
              <w:jc w:val="left"/>
              <w:rPr/>
            </w:pPr>
            <w:r>
              <w:rPr/>
            </w:r>
          </w:p>
        </w:tc>
        <w:tc>
          <w:tcPr>
            <w:tcW w:w="95" w:type="dxa"/>
            <w:vMerge w:val="continue"/>
            <w:tcBorders>
              <w:bottom w:val="single" w:sz="12" w:space="0" w:color="000000"/>
            </w:tcBorders>
            <w:tcMar>
              <w:top w:w="0" w:type="dxa"/>
              <w:left w:w="0" w:type="dxa"/>
              <w:bottom w:w="28" w:type="dxa"/>
            </w:tcMar>
            <w:vAlign w:val="bottom"/>
          </w:tcPr>
          <w:p>
            <w:pPr>
              <w:pStyle w:val="Normal"/>
              <w:bidi w:val="0"/>
              <w:jc w:val="left"/>
              <w:rPr/>
            </w:pPr>
            <w:r>
              <w:rPr/>
            </w:r>
          </w:p>
        </w:tc>
        <w:tc>
          <w:tcPr>
            <w:tcW w:w="60" w:type="dxa"/>
            <w:vMerge w:val="continue"/>
            <w:tcBorders>
              <w:bottom w:val="single" w:sz="12" w:space="0" w:color="000000"/>
            </w:tcBorders>
            <w:tcMar>
              <w:top w:w="0" w:type="dxa"/>
              <w:left w:w="0" w:type="dxa"/>
              <w:bottom w:w="28" w:type="dxa"/>
            </w:tcMar>
            <w:vAlign w:val="bottom"/>
          </w:tcPr>
          <w:p>
            <w:pPr>
              <w:pStyle w:val="Normal"/>
              <w:bidi w:val="0"/>
              <w:jc w:val="left"/>
              <w:rPr/>
            </w:pPr>
            <w:r>
              <w:rPr/>
            </w:r>
          </w:p>
        </w:tc>
        <w:tc>
          <w:tcPr>
            <w:tcW w:w="1370" w:type="dxa"/>
            <w:gridSpan w:val="2"/>
            <w:vMerge w:val="continue"/>
            <w:tcBorders>
              <w:bottom w:val="single" w:sz="12" w:space="0" w:color="000000"/>
            </w:tcBorders>
            <w:tcMar>
              <w:top w:w="0" w:type="dxa"/>
              <w:left w:w="0" w:type="dxa"/>
              <w:bottom w:w="28" w:type="dxa"/>
            </w:tcMar>
            <w:vAlign w:val="bottom"/>
          </w:tcPr>
          <w:p>
            <w:pPr>
              <w:pStyle w:val="Normal"/>
              <w:bidi w:val="0"/>
              <w:jc w:val="left"/>
              <w:rPr/>
            </w:pPr>
            <w:r>
              <w:rPr/>
            </w:r>
          </w:p>
        </w:tc>
        <w:tc>
          <w:tcPr>
            <w:tcW w:w="95" w:type="dxa"/>
            <w:vMerge w:val="continue"/>
            <w:tcBorders>
              <w:bottom w:val="single" w:sz="12" w:space="0" w:color="000000"/>
            </w:tcBorders>
            <w:tcMar>
              <w:top w:w="0" w:type="dxa"/>
              <w:left w:w="0" w:type="dxa"/>
              <w:bottom w:w="28" w:type="dxa"/>
            </w:tcMar>
            <w:vAlign w:val="bottom"/>
          </w:tcPr>
          <w:p>
            <w:pPr>
              <w:pStyle w:val="Normal"/>
              <w:bidi w:val="0"/>
              <w:jc w:val="left"/>
              <w:rPr/>
            </w:pPr>
            <w:r>
              <w:rPr/>
            </w:r>
          </w:p>
        </w:tc>
        <w:tc>
          <w:tcPr>
            <w:tcW w:w="60" w:type="dxa"/>
            <w:vMerge w:val="continue"/>
            <w:tcBorders>
              <w:bottom w:val="single" w:sz="12" w:space="0" w:color="000000"/>
            </w:tcBorders>
            <w:tcMar>
              <w:top w:w="0" w:type="dxa"/>
              <w:left w:w="0" w:type="dxa"/>
              <w:bottom w:w="28" w:type="dxa"/>
            </w:tcMar>
            <w:vAlign w:val="bottom"/>
          </w:tcPr>
          <w:p>
            <w:pPr>
              <w:pStyle w:val="Normal"/>
              <w:bidi w:val="0"/>
              <w:jc w:val="left"/>
              <w:rPr/>
            </w:pPr>
            <w:r>
              <w:rPr/>
            </w:r>
          </w:p>
        </w:tc>
        <w:tc>
          <w:tcPr>
            <w:tcW w:w="1340" w:type="dxa"/>
            <w:gridSpan w:val="2"/>
            <w:vMerge w:val="continue"/>
            <w:tcBorders>
              <w:bottom w:val="single" w:sz="12" w:space="0" w:color="000000"/>
            </w:tcBorders>
            <w:tcMar>
              <w:top w:w="0" w:type="dxa"/>
              <w:left w:w="0" w:type="dxa"/>
              <w:bottom w:w="28" w:type="dxa"/>
            </w:tcMar>
            <w:vAlign w:val="bottom"/>
          </w:tcPr>
          <w:p>
            <w:pPr>
              <w:pStyle w:val="Normal"/>
              <w:bidi w:val="0"/>
              <w:jc w:val="left"/>
              <w:rPr/>
            </w:pPr>
            <w:r>
              <w:rPr/>
            </w:r>
          </w:p>
        </w:tc>
        <w:tc>
          <w:tcPr>
            <w:tcW w:w="95" w:type="dxa"/>
            <w:vMerge w:val="continue"/>
            <w:tcBorders>
              <w:bottom w:val="single" w:sz="12" w:space="0" w:color="000000"/>
              <w:right w:val="single" w:sz="12" w:space="0" w:color="000000"/>
            </w:tcBorders>
            <w:tcMar>
              <w:top w:w="0" w:type="dxa"/>
              <w:left w:w="0" w:type="dxa"/>
              <w:bottom w:w="28" w:type="dxa"/>
              <w:right w:w="28" w:type="dxa"/>
            </w:tcMar>
            <w:vAlign w:val="bottom"/>
          </w:tcPr>
          <w:p>
            <w:pPr>
              <w:pStyle w:val="Normal"/>
              <w:bidi w:val="0"/>
              <w:jc w:val="left"/>
              <w:rPr/>
            </w:pPr>
            <w:r>
              <w:rPr/>
            </w:r>
          </w:p>
        </w:tc>
      </w:tr>
      <w:tr>
        <w:trPr/>
        <w:tc>
          <w:tcPr>
            <w:tcW w:w="4655" w:type="dxa"/>
            <w:tcBorders>
              <w:left w:val="single" w:sz="12" w:space="0" w:color="000000"/>
            </w:tcBorders>
            <w:shd w:fill="CCEEFF" w:val="clear"/>
            <w:tcMar>
              <w:top w:w="0" w:type="dxa"/>
            </w:tcMar>
            <w:vAlign w:val="bottom"/>
          </w:tcPr>
          <w:p>
            <w:pPr>
              <w:pStyle w:val="TableContents"/>
              <w:bidi w:val="0"/>
              <w:spacing w:before="0" w:after="0"/>
              <w:ind w:left="144" w:right="0" w:hanging="144"/>
              <w:jc w:val="left"/>
              <w:rPr>
                <w:b/>
                <w:color w:val="000000"/>
              </w:rPr>
            </w:pPr>
            <w:r>
              <w:rPr>
                <w:b/>
                <w:color w:val="000000"/>
              </w:rPr>
              <w:t>Balance as of December 31, 2024</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1220" w:type="dxa"/>
            <w:tcBorders/>
            <w:shd w:fill="CCEEFF" w:val="clear"/>
            <w:tcMar>
              <w:top w:w="0" w:type="dxa"/>
              <w:left w:w="0" w:type="dxa"/>
            </w:tcMar>
            <w:vAlign w:val="bottom"/>
          </w:tcPr>
          <w:p>
            <w:pPr>
              <w:pStyle w:val="TableContents"/>
              <w:bidi w:val="0"/>
              <w:spacing w:before="0" w:after="0"/>
              <w:jc w:val="right"/>
              <w:rPr>
                <w:color w:val="000000"/>
              </w:rPr>
            </w:pPr>
            <w:r>
              <w:rPr>
                <w:color w:val="000000"/>
              </w:rPr>
              <w:t>212,541,832</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140" w:type="dxa"/>
            <w:tcBorders/>
            <w:shd w:fill="CCEEFF" w:val="clear"/>
            <w:tcMar>
              <w:top w:w="0" w:type="dxa"/>
              <w:left w:w="0" w:type="dxa"/>
            </w:tcMar>
            <w:vAlign w:val="bottom"/>
          </w:tcPr>
          <w:p>
            <w:pPr>
              <w:pStyle w:val="TableContents"/>
              <w:bidi w:val="0"/>
              <w:spacing w:before="0" w:after="0"/>
              <w:jc w:val="left"/>
              <w:rPr>
                <w:color w:val="000000"/>
              </w:rPr>
            </w:pPr>
            <w:r>
              <w:rPr>
                <w:color w:val="000000"/>
              </w:rPr>
              <w:t>$</w:t>
            </w:r>
          </w:p>
        </w:tc>
        <w:tc>
          <w:tcPr>
            <w:tcW w:w="980" w:type="dxa"/>
            <w:tcBorders/>
            <w:shd w:fill="CCEEFF" w:val="clear"/>
            <w:tcMar>
              <w:top w:w="0" w:type="dxa"/>
              <w:left w:w="0" w:type="dxa"/>
            </w:tcMar>
            <w:vAlign w:val="bottom"/>
          </w:tcPr>
          <w:p>
            <w:pPr>
              <w:pStyle w:val="TableContents"/>
              <w:bidi w:val="0"/>
              <w:spacing w:before="0" w:after="0"/>
              <w:jc w:val="right"/>
              <w:rPr>
                <w:color w:val="000000"/>
              </w:rPr>
            </w:pPr>
            <w:r>
              <w:rPr>
                <w:color w:val="000000"/>
              </w:rPr>
              <w:t>1,363,580</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left w:val="single" w:sz="12" w:space="0" w:color="000000"/>
            </w:tcBorders>
            <w:shd w:fill="CCEEFF" w:val="clear"/>
            <w:tcMar>
              <w:top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1100" w:type="dxa"/>
            <w:tcBorders/>
            <w:shd w:fill="CCEEFF" w:val="clear"/>
            <w:tcMar>
              <w:top w:w="0" w:type="dxa"/>
              <w:left w:w="0" w:type="dxa"/>
            </w:tcMar>
            <w:vAlign w:val="bottom"/>
          </w:tcPr>
          <w:p>
            <w:pPr>
              <w:pStyle w:val="TableContents"/>
              <w:bidi w:val="0"/>
              <w:spacing w:before="0" w:after="0"/>
              <w:jc w:val="right"/>
              <w:rPr>
                <w:color w:val="000000"/>
              </w:rPr>
            </w:pPr>
            <w:r>
              <w:rPr>
                <w:color w:val="000000"/>
              </w:rPr>
              <w:t>25,973,713</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301" w:type="dxa"/>
            <w:tcBorders/>
            <w:shd w:fill="CCEEFF" w:val="clear"/>
            <w:tcMar>
              <w:top w:w="0" w:type="dxa"/>
              <w:left w:w="0" w:type="dxa"/>
            </w:tcMar>
            <w:vAlign w:val="bottom"/>
          </w:tcPr>
          <w:p>
            <w:pPr>
              <w:pStyle w:val="TableContents"/>
              <w:bidi w:val="0"/>
              <w:spacing w:before="0" w:after="0"/>
              <w:jc w:val="left"/>
              <w:rPr>
                <w:color w:val="000000"/>
              </w:rPr>
            </w:pPr>
            <w:r>
              <w:rPr>
                <w:color w:val="000000"/>
              </w:rPr>
              <w:t>$</w:t>
            </w:r>
          </w:p>
        </w:tc>
        <w:tc>
          <w:tcPr>
            <w:tcW w:w="559" w:type="dxa"/>
            <w:tcBorders/>
            <w:shd w:fill="CCEEFF" w:val="clear"/>
            <w:tcMar>
              <w:top w:w="0" w:type="dxa"/>
              <w:left w:w="0" w:type="dxa"/>
            </w:tcMar>
            <w:vAlign w:val="bottom"/>
          </w:tcPr>
          <w:p>
            <w:pPr>
              <w:pStyle w:val="TableContents"/>
              <w:bidi w:val="0"/>
              <w:spacing w:before="0" w:after="0"/>
              <w:jc w:val="right"/>
              <w:rPr>
                <w:color w:val="000000"/>
              </w:rPr>
            </w:pPr>
            <w:r>
              <w:rPr>
                <w:color w:val="000000"/>
              </w:rPr>
              <w:t>3</w:t>
            </w:r>
          </w:p>
        </w:tc>
        <w:tc>
          <w:tcPr>
            <w:tcW w:w="95"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187" w:type="dxa"/>
            <w:tcBorders/>
            <w:shd w:fill="CCEEFF" w:val="clear"/>
            <w:tcMar>
              <w:top w:w="0" w:type="dxa"/>
              <w:left w:w="0" w:type="dxa"/>
            </w:tcMar>
            <w:vAlign w:val="bottom"/>
          </w:tcPr>
          <w:p>
            <w:pPr>
              <w:pStyle w:val="TableContents"/>
              <w:bidi w:val="0"/>
              <w:spacing w:before="0" w:after="0"/>
              <w:jc w:val="left"/>
              <w:rPr>
                <w:color w:val="000000"/>
              </w:rPr>
            </w:pPr>
            <w:r>
              <w:rPr>
                <w:color w:val="000000"/>
              </w:rPr>
              <w:t>$</w:t>
            </w:r>
          </w:p>
        </w:tc>
        <w:tc>
          <w:tcPr>
            <w:tcW w:w="913" w:type="dxa"/>
            <w:tcBorders/>
            <w:shd w:fill="CCEEFF" w:val="clear"/>
            <w:tcMar>
              <w:top w:w="0" w:type="dxa"/>
              <w:left w:w="0" w:type="dxa"/>
            </w:tcMar>
            <w:vAlign w:val="bottom"/>
          </w:tcPr>
          <w:p>
            <w:pPr>
              <w:pStyle w:val="TableContents"/>
              <w:bidi w:val="0"/>
              <w:spacing w:before="0" w:after="0"/>
              <w:jc w:val="right"/>
              <w:rPr>
                <w:color w:val="000000"/>
              </w:rPr>
            </w:pPr>
            <w:r>
              <w:rPr>
                <w:color w:val="000000"/>
              </w:rPr>
              <w:t>75,259</w:t>
            </w:r>
          </w:p>
        </w:tc>
        <w:tc>
          <w:tcPr>
            <w:tcW w:w="95"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174" w:type="dxa"/>
            <w:tcBorders/>
            <w:shd w:fill="CCEEFF" w:val="clear"/>
            <w:tcMar>
              <w:top w:w="0" w:type="dxa"/>
              <w:left w:w="0" w:type="dxa"/>
            </w:tcMar>
            <w:vAlign w:val="bottom"/>
          </w:tcPr>
          <w:p>
            <w:pPr>
              <w:pStyle w:val="TableContents"/>
              <w:bidi w:val="0"/>
              <w:spacing w:before="0" w:after="0"/>
              <w:jc w:val="left"/>
              <w:rPr>
                <w:color w:val="000000"/>
              </w:rPr>
            </w:pPr>
            <w:r>
              <w:rPr>
                <w:color w:val="000000"/>
              </w:rPr>
              <w:t>$</w:t>
            </w:r>
          </w:p>
        </w:tc>
        <w:tc>
          <w:tcPr>
            <w:tcW w:w="791" w:type="dxa"/>
            <w:tcBorders/>
            <w:shd w:fill="CCEEFF" w:val="clear"/>
            <w:tcMar>
              <w:top w:w="0" w:type="dxa"/>
              <w:left w:w="0" w:type="dxa"/>
            </w:tcMar>
            <w:vAlign w:val="bottom"/>
          </w:tcPr>
          <w:p>
            <w:pPr>
              <w:pStyle w:val="TableContents"/>
              <w:bidi w:val="0"/>
              <w:spacing w:before="0" w:after="0"/>
              <w:jc w:val="right"/>
              <w:rPr>
                <w:color w:val="000000"/>
              </w:rPr>
            </w:pPr>
            <w:r>
              <w:rPr>
                <w:color w:val="000000"/>
              </w:rPr>
              <w:t>(2,619</w:t>
            </w:r>
          </w:p>
        </w:tc>
        <w:tc>
          <w:tcPr>
            <w:tcW w:w="95" w:type="dxa"/>
            <w:tcBorders/>
            <w:shd w:fill="CCEEFF" w:val="clear"/>
            <w:tcMar>
              <w:top w:w="0" w:type="dxa"/>
              <w:left w:w="0" w:type="dxa"/>
            </w:tcMar>
            <w:vAlign w:val="bottom"/>
          </w:tcPr>
          <w:p>
            <w:pPr>
              <w:pStyle w:val="TableContents"/>
              <w:bidi w:val="0"/>
              <w:spacing w:before="0" w:after="0"/>
              <w:jc w:val="left"/>
              <w:rPr>
                <w:color w:val="000000"/>
              </w:rPr>
            </w:pPr>
            <w:r>
              <w:rPr>
                <w:color w:val="000000"/>
              </w:rPr>
              <w:t>)</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433" w:type="dxa"/>
            <w:tcBorders/>
            <w:shd w:fill="CCEEFF" w:val="clear"/>
            <w:tcMar>
              <w:top w:w="0" w:type="dxa"/>
              <w:left w:w="0" w:type="dxa"/>
            </w:tcMar>
            <w:vAlign w:val="bottom"/>
          </w:tcPr>
          <w:p>
            <w:pPr>
              <w:pStyle w:val="TableContents"/>
              <w:bidi w:val="0"/>
              <w:spacing w:before="0" w:after="0"/>
              <w:jc w:val="left"/>
              <w:rPr>
                <w:color w:val="000000"/>
              </w:rPr>
            </w:pPr>
            <w:r>
              <w:rPr>
                <w:color w:val="000000"/>
              </w:rPr>
              <w:t>$</w:t>
            </w:r>
          </w:p>
        </w:tc>
        <w:tc>
          <w:tcPr>
            <w:tcW w:w="1177" w:type="dxa"/>
            <w:tcBorders/>
            <w:shd w:fill="CCEEFF" w:val="clear"/>
            <w:tcMar>
              <w:top w:w="0" w:type="dxa"/>
              <w:left w:w="0" w:type="dxa"/>
            </w:tcMar>
            <w:vAlign w:val="bottom"/>
          </w:tcPr>
          <w:p>
            <w:pPr>
              <w:pStyle w:val="TableContents"/>
              <w:bidi w:val="0"/>
              <w:spacing w:before="0" w:after="0"/>
              <w:jc w:val="right"/>
              <w:rPr>
                <w:color w:val="000000"/>
              </w:rPr>
            </w:pPr>
            <w:r>
              <w:rPr>
                <w:color w:val="000000"/>
              </w:rPr>
              <w:t>102</w:t>
            </w:r>
          </w:p>
        </w:tc>
        <w:tc>
          <w:tcPr>
            <w:tcW w:w="95"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160" w:type="dxa"/>
            <w:tcBorders/>
            <w:shd w:fill="CCEEFF" w:val="clear"/>
            <w:tcMar>
              <w:top w:w="0" w:type="dxa"/>
              <w:left w:w="0" w:type="dxa"/>
            </w:tcMar>
            <w:vAlign w:val="bottom"/>
          </w:tcPr>
          <w:p>
            <w:pPr>
              <w:pStyle w:val="TableContents"/>
              <w:bidi w:val="0"/>
              <w:spacing w:before="0" w:after="0"/>
              <w:jc w:val="left"/>
              <w:rPr>
                <w:color w:val="000000"/>
              </w:rPr>
            </w:pPr>
            <w:r>
              <w:rPr>
                <w:color w:val="000000"/>
              </w:rPr>
              <w:t>$</w:t>
            </w:r>
          </w:p>
        </w:tc>
        <w:tc>
          <w:tcPr>
            <w:tcW w:w="1210" w:type="dxa"/>
            <w:tcBorders/>
            <w:shd w:fill="CCEEFF" w:val="clear"/>
            <w:tcMar>
              <w:top w:w="0" w:type="dxa"/>
              <w:left w:w="0" w:type="dxa"/>
            </w:tcMar>
            <w:vAlign w:val="bottom"/>
          </w:tcPr>
          <w:p>
            <w:pPr>
              <w:pStyle w:val="TableContents"/>
              <w:bidi w:val="0"/>
              <w:spacing w:before="0" w:after="0"/>
              <w:jc w:val="right"/>
              <w:rPr>
                <w:color w:val="000000"/>
              </w:rPr>
            </w:pPr>
            <w:r>
              <w:rPr>
                <w:color w:val="000000"/>
              </w:rPr>
              <w:t>(1,127,762</w:t>
            </w:r>
          </w:p>
        </w:tc>
        <w:tc>
          <w:tcPr>
            <w:tcW w:w="95" w:type="dxa"/>
            <w:tcBorders/>
            <w:shd w:fill="CCEEFF" w:val="clear"/>
            <w:tcMar>
              <w:top w:w="0" w:type="dxa"/>
              <w:left w:w="0" w:type="dxa"/>
            </w:tcMar>
            <w:vAlign w:val="bottom"/>
          </w:tcPr>
          <w:p>
            <w:pPr>
              <w:pStyle w:val="TableContents"/>
              <w:bidi w:val="0"/>
              <w:spacing w:before="0" w:after="0"/>
              <w:jc w:val="left"/>
              <w:rPr>
                <w:color w:val="000000"/>
              </w:rPr>
            </w:pPr>
            <w:r>
              <w:rPr>
                <w:color w:val="000000"/>
              </w:rPr>
              <w:t>)</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156" w:type="dxa"/>
            <w:tcBorders/>
            <w:shd w:fill="CCEEFF" w:val="clear"/>
            <w:tcMar>
              <w:top w:w="0" w:type="dxa"/>
              <w:left w:w="0" w:type="dxa"/>
            </w:tcMar>
            <w:vAlign w:val="bottom"/>
          </w:tcPr>
          <w:p>
            <w:pPr>
              <w:pStyle w:val="TableContents"/>
              <w:bidi w:val="0"/>
              <w:spacing w:before="0" w:after="0"/>
              <w:jc w:val="left"/>
              <w:rPr>
                <w:color w:val="000000"/>
              </w:rPr>
            </w:pPr>
            <w:r>
              <w:rPr>
                <w:color w:val="000000"/>
              </w:rPr>
              <w:t>$</w:t>
            </w:r>
          </w:p>
        </w:tc>
        <w:tc>
          <w:tcPr>
            <w:tcW w:w="1184" w:type="dxa"/>
            <w:tcBorders/>
            <w:shd w:fill="CCEEFF" w:val="clear"/>
            <w:tcMar>
              <w:top w:w="0" w:type="dxa"/>
              <w:left w:w="0" w:type="dxa"/>
            </w:tcMar>
            <w:vAlign w:val="bottom"/>
          </w:tcPr>
          <w:p>
            <w:pPr>
              <w:pStyle w:val="TableContents"/>
              <w:bidi w:val="0"/>
              <w:spacing w:before="0" w:after="0"/>
              <w:jc w:val="right"/>
              <w:rPr>
                <w:color w:val="000000"/>
              </w:rPr>
            </w:pPr>
            <w:r>
              <w:rPr>
                <w:color w:val="000000"/>
              </w:rPr>
              <w:t>(1,055,017</w:t>
            </w:r>
          </w:p>
        </w:tc>
        <w:tc>
          <w:tcPr>
            <w:tcW w:w="95" w:type="dxa"/>
            <w:tcBorders>
              <w:right w:val="single" w:sz="12" w:space="0" w:color="000000"/>
            </w:tcBorders>
            <w:shd w:fill="CCEEFF" w:val="clear"/>
            <w:tcMar>
              <w:top w:w="0" w:type="dxa"/>
              <w:left w:w="0" w:type="dxa"/>
              <w:right w:w="28" w:type="dxa"/>
            </w:tcMar>
            <w:vAlign w:val="bottom"/>
          </w:tcPr>
          <w:p>
            <w:pPr>
              <w:pStyle w:val="TableContents"/>
              <w:bidi w:val="0"/>
              <w:spacing w:before="0" w:after="0"/>
              <w:jc w:val="left"/>
              <w:rPr>
                <w:color w:val="000000"/>
              </w:rPr>
            </w:pPr>
            <w:r>
              <w:rPr>
                <w:color w:val="000000"/>
              </w:rPr>
              <w:t>)</w:t>
            </w:r>
          </w:p>
        </w:tc>
      </w:tr>
      <w:tr>
        <w:trPr/>
        <w:tc>
          <w:tcPr>
            <w:tcW w:w="4655" w:type="dxa"/>
            <w:tcBorders>
              <w:left w:val="single" w:sz="12" w:space="0" w:color="000000"/>
            </w:tcBorders>
            <w:tcMar>
              <w:top w:w="0" w:type="dxa"/>
            </w:tcMar>
            <w:vAlign w:val="bottom"/>
          </w:tcPr>
          <w:p>
            <w:pPr>
              <w:pStyle w:val="TableContents"/>
              <w:bidi w:val="0"/>
              <w:spacing w:before="0" w:after="0"/>
              <w:ind w:left="144" w:right="0" w:hanging="144"/>
              <w:jc w:val="left"/>
              <w:rPr>
                <w:color w:val="000000"/>
              </w:rPr>
            </w:pPr>
            <w:r>
              <w:rPr>
                <w:color w:val="000000"/>
              </w:rPr>
              <w:t>Retirement of treasury stock</w:t>
            </w:r>
          </w:p>
        </w:tc>
        <w:tc>
          <w:tcPr>
            <w:tcW w:w="60" w:type="dxa"/>
            <w:tcBorders/>
            <w:tcMar>
              <w:top w:w="0" w:type="dxa"/>
              <w:left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1220" w:type="dxa"/>
            <w:tcBorders/>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tcMar>
              <w:top w:w="0" w:type="dxa"/>
              <w:left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140" w:type="dxa"/>
            <w:tcBorders/>
            <w:tcMar>
              <w:top w:w="0" w:type="dxa"/>
              <w:left w:w="0" w:type="dxa"/>
            </w:tcMar>
            <w:vAlign w:val="bottom"/>
          </w:tcPr>
          <w:p>
            <w:pPr>
              <w:pStyle w:val="TableContents"/>
              <w:bidi w:val="0"/>
              <w:spacing w:before="0" w:after="283"/>
              <w:jc w:val="left"/>
              <w:rPr/>
            </w:pPr>
            <w:r>
              <w:rPr/>
              <w:t> </w:t>
            </w:r>
          </w:p>
        </w:tc>
        <w:tc>
          <w:tcPr>
            <w:tcW w:w="980" w:type="dxa"/>
            <w:tcBorders/>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tcMar>
              <w:top w:w="0" w:type="dxa"/>
              <w:left w:w="0" w:type="dxa"/>
            </w:tcMar>
            <w:vAlign w:val="bottom"/>
          </w:tcPr>
          <w:p>
            <w:pPr>
              <w:pStyle w:val="TableContents"/>
              <w:bidi w:val="0"/>
              <w:spacing w:before="0" w:after="283"/>
              <w:jc w:val="left"/>
              <w:rPr/>
            </w:pPr>
            <w:r>
              <w:rPr/>
              <w:t> </w:t>
            </w:r>
          </w:p>
        </w:tc>
        <w:tc>
          <w:tcPr>
            <w:tcW w:w="60" w:type="dxa"/>
            <w:tcBorders>
              <w:left w:val="single" w:sz="12" w:space="0" w:color="000000"/>
            </w:tcBorders>
            <w:tcMar>
              <w:top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1100" w:type="dxa"/>
            <w:tcBorders/>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tcMar>
              <w:top w:w="0" w:type="dxa"/>
              <w:left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301" w:type="dxa"/>
            <w:tcBorders/>
            <w:tcMar>
              <w:top w:w="0" w:type="dxa"/>
              <w:left w:w="0" w:type="dxa"/>
            </w:tcMar>
            <w:vAlign w:val="bottom"/>
          </w:tcPr>
          <w:p>
            <w:pPr>
              <w:pStyle w:val="TableContents"/>
              <w:bidi w:val="0"/>
              <w:spacing w:before="0" w:after="283"/>
              <w:jc w:val="left"/>
              <w:rPr/>
            </w:pPr>
            <w:r>
              <w:rPr/>
              <w:t> </w:t>
            </w:r>
          </w:p>
        </w:tc>
        <w:tc>
          <w:tcPr>
            <w:tcW w:w="559" w:type="dxa"/>
            <w:tcBorders/>
            <w:tcMar>
              <w:top w:w="0" w:type="dxa"/>
              <w:left w:w="0" w:type="dxa"/>
            </w:tcMar>
            <w:vAlign w:val="bottom"/>
          </w:tcPr>
          <w:p>
            <w:pPr>
              <w:pStyle w:val="TableContents"/>
              <w:bidi w:val="0"/>
              <w:spacing w:before="0" w:after="0"/>
              <w:jc w:val="right"/>
              <w:rPr>
                <w:color w:val="000000"/>
              </w:rPr>
            </w:pPr>
            <w:r>
              <w:rPr>
                <w:color w:val="000000"/>
              </w:rPr>
              <w:t>—</w:t>
            </w:r>
          </w:p>
        </w:tc>
        <w:tc>
          <w:tcPr>
            <w:tcW w:w="95" w:type="dxa"/>
            <w:tcBorders/>
            <w:tcMar>
              <w:top w:w="0" w:type="dxa"/>
              <w:left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187" w:type="dxa"/>
            <w:tcBorders/>
            <w:tcMar>
              <w:top w:w="0" w:type="dxa"/>
              <w:left w:w="0" w:type="dxa"/>
            </w:tcMar>
            <w:vAlign w:val="bottom"/>
          </w:tcPr>
          <w:p>
            <w:pPr>
              <w:pStyle w:val="TableContents"/>
              <w:bidi w:val="0"/>
              <w:spacing w:before="0" w:after="283"/>
              <w:jc w:val="left"/>
              <w:rPr/>
            </w:pPr>
            <w:r>
              <w:rPr/>
              <w:t> </w:t>
            </w:r>
          </w:p>
        </w:tc>
        <w:tc>
          <w:tcPr>
            <w:tcW w:w="913" w:type="dxa"/>
            <w:tcBorders/>
            <w:tcMar>
              <w:top w:w="0" w:type="dxa"/>
              <w:left w:w="0" w:type="dxa"/>
            </w:tcMar>
            <w:vAlign w:val="bottom"/>
          </w:tcPr>
          <w:p>
            <w:pPr>
              <w:pStyle w:val="TableContents"/>
              <w:bidi w:val="0"/>
              <w:spacing w:before="0" w:after="0"/>
              <w:jc w:val="right"/>
              <w:rPr>
                <w:color w:val="000000"/>
              </w:rPr>
            </w:pPr>
            <w:r>
              <w:rPr>
                <w:color w:val="000000"/>
              </w:rPr>
              <w:t>(2,619</w:t>
            </w:r>
          </w:p>
        </w:tc>
        <w:tc>
          <w:tcPr>
            <w:tcW w:w="95" w:type="dxa"/>
            <w:tcBorders/>
            <w:tcMar>
              <w:top w:w="0" w:type="dxa"/>
              <w:left w:w="0" w:type="dxa"/>
            </w:tcMar>
            <w:vAlign w:val="bottom"/>
          </w:tcPr>
          <w:p>
            <w:pPr>
              <w:pStyle w:val="TableContents"/>
              <w:bidi w:val="0"/>
              <w:spacing w:before="0" w:after="0"/>
              <w:jc w:val="left"/>
              <w:rPr>
                <w:color w:val="000000"/>
              </w:rPr>
            </w:pPr>
            <w:r>
              <w:rPr>
                <w:color w:val="000000"/>
              </w:rPr>
              <w:t>)</w:t>
            </w:r>
          </w:p>
        </w:tc>
        <w:tc>
          <w:tcPr>
            <w:tcW w:w="60" w:type="dxa"/>
            <w:tcBorders/>
            <w:tcMar>
              <w:top w:w="0" w:type="dxa"/>
              <w:left w:w="0" w:type="dxa"/>
            </w:tcMar>
            <w:vAlign w:val="bottom"/>
          </w:tcPr>
          <w:p>
            <w:pPr>
              <w:pStyle w:val="TableContents"/>
              <w:bidi w:val="0"/>
              <w:spacing w:before="0" w:after="283"/>
              <w:jc w:val="left"/>
              <w:rPr/>
            </w:pPr>
            <w:r>
              <w:rPr/>
              <w:t> </w:t>
            </w:r>
          </w:p>
        </w:tc>
        <w:tc>
          <w:tcPr>
            <w:tcW w:w="174" w:type="dxa"/>
            <w:tcBorders/>
            <w:tcMar>
              <w:top w:w="0" w:type="dxa"/>
              <w:left w:w="0" w:type="dxa"/>
            </w:tcMar>
            <w:vAlign w:val="bottom"/>
          </w:tcPr>
          <w:p>
            <w:pPr>
              <w:pStyle w:val="TableContents"/>
              <w:bidi w:val="0"/>
              <w:spacing w:before="0" w:after="283"/>
              <w:jc w:val="left"/>
              <w:rPr/>
            </w:pPr>
            <w:r>
              <w:rPr/>
              <w:t> </w:t>
            </w:r>
          </w:p>
        </w:tc>
        <w:tc>
          <w:tcPr>
            <w:tcW w:w="791" w:type="dxa"/>
            <w:tcBorders/>
            <w:tcMar>
              <w:top w:w="0" w:type="dxa"/>
              <w:left w:w="0" w:type="dxa"/>
            </w:tcMar>
            <w:vAlign w:val="bottom"/>
          </w:tcPr>
          <w:p>
            <w:pPr>
              <w:pStyle w:val="TableContents"/>
              <w:bidi w:val="0"/>
              <w:spacing w:before="0" w:after="0"/>
              <w:jc w:val="right"/>
              <w:rPr>
                <w:color w:val="000000"/>
              </w:rPr>
            </w:pPr>
            <w:r>
              <w:rPr>
                <w:color w:val="000000"/>
              </w:rPr>
              <w:t>2,619</w:t>
            </w:r>
          </w:p>
        </w:tc>
        <w:tc>
          <w:tcPr>
            <w:tcW w:w="95" w:type="dxa"/>
            <w:tcBorders/>
            <w:tcMar>
              <w:top w:w="0" w:type="dxa"/>
              <w:left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433" w:type="dxa"/>
            <w:tcBorders/>
            <w:tcMar>
              <w:top w:w="0" w:type="dxa"/>
              <w:left w:w="0" w:type="dxa"/>
            </w:tcMar>
            <w:vAlign w:val="bottom"/>
          </w:tcPr>
          <w:p>
            <w:pPr>
              <w:pStyle w:val="TableContents"/>
              <w:bidi w:val="0"/>
              <w:spacing w:before="0" w:after="283"/>
              <w:jc w:val="left"/>
              <w:rPr/>
            </w:pPr>
            <w:r>
              <w:rPr/>
              <w:t> </w:t>
            </w:r>
          </w:p>
        </w:tc>
        <w:tc>
          <w:tcPr>
            <w:tcW w:w="1177" w:type="dxa"/>
            <w:tcBorders/>
            <w:tcMar>
              <w:top w:w="0" w:type="dxa"/>
              <w:left w:w="0" w:type="dxa"/>
            </w:tcMar>
            <w:vAlign w:val="bottom"/>
          </w:tcPr>
          <w:p>
            <w:pPr>
              <w:pStyle w:val="TableContents"/>
              <w:bidi w:val="0"/>
              <w:spacing w:before="0" w:after="0"/>
              <w:jc w:val="right"/>
              <w:rPr>
                <w:color w:val="000000"/>
              </w:rPr>
            </w:pPr>
            <w:r>
              <w:rPr>
                <w:color w:val="000000"/>
              </w:rPr>
              <w:t>—</w:t>
            </w:r>
          </w:p>
        </w:tc>
        <w:tc>
          <w:tcPr>
            <w:tcW w:w="95" w:type="dxa"/>
            <w:tcBorders/>
            <w:tcMar>
              <w:top w:w="0" w:type="dxa"/>
              <w:left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160" w:type="dxa"/>
            <w:tcBorders/>
            <w:tcMar>
              <w:top w:w="0" w:type="dxa"/>
              <w:left w:w="0" w:type="dxa"/>
            </w:tcMar>
            <w:vAlign w:val="bottom"/>
          </w:tcPr>
          <w:p>
            <w:pPr>
              <w:pStyle w:val="TableContents"/>
              <w:bidi w:val="0"/>
              <w:spacing w:before="0" w:after="283"/>
              <w:jc w:val="left"/>
              <w:rPr/>
            </w:pPr>
            <w:r>
              <w:rPr/>
              <w:t> </w:t>
            </w:r>
          </w:p>
        </w:tc>
        <w:tc>
          <w:tcPr>
            <w:tcW w:w="1210" w:type="dxa"/>
            <w:tcBorders/>
            <w:tcMar>
              <w:top w:w="0" w:type="dxa"/>
              <w:left w:w="0" w:type="dxa"/>
            </w:tcMar>
            <w:vAlign w:val="bottom"/>
          </w:tcPr>
          <w:p>
            <w:pPr>
              <w:pStyle w:val="TableContents"/>
              <w:bidi w:val="0"/>
              <w:spacing w:before="0" w:after="0"/>
              <w:jc w:val="right"/>
              <w:rPr>
                <w:color w:val="000000"/>
              </w:rPr>
            </w:pPr>
            <w:r>
              <w:rPr>
                <w:color w:val="000000"/>
              </w:rPr>
              <w:t>—</w:t>
            </w:r>
          </w:p>
        </w:tc>
        <w:tc>
          <w:tcPr>
            <w:tcW w:w="95" w:type="dxa"/>
            <w:tcBorders/>
            <w:tcMar>
              <w:top w:w="0" w:type="dxa"/>
              <w:left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156" w:type="dxa"/>
            <w:tcBorders/>
            <w:tcMar>
              <w:top w:w="0" w:type="dxa"/>
              <w:left w:w="0" w:type="dxa"/>
            </w:tcMar>
            <w:vAlign w:val="bottom"/>
          </w:tcPr>
          <w:p>
            <w:pPr>
              <w:pStyle w:val="TableContents"/>
              <w:bidi w:val="0"/>
              <w:spacing w:before="0" w:after="283"/>
              <w:jc w:val="left"/>
              <w:rPr/>
            </w:pPr>
            <w:r>
              <w:rPr/>
              <w:t> </w:t>
            </w:r>
          </w:p>
        </w:tc>
        <w:tc>
          <w:tcPr>
            <w:tcW w:w="1184" w:type="dxa"/>
            <w:tcBorders/>
            <w:tcMar>
              <w:top w:w="0" w:type="dxa"/>
              <w:left w:w="0" w:type="dxa"/>
            </w:tcMar>
            <w:vAlign w:val="bottom"/>
          </w:tcPr>
          <w:p>
            <w:pPr>
              <w:pStyle w:val="TableContents"/>
              <w:bidi w:val="0"/>
              <w:spacing w:before="0" w:after="0"/>
              <w:jc w:val="right"/>
              <w:rPr>
                <w:color w:val="000000"/>
              </w:rPr>
            </w:pPr>
            <w:r>
              <w:rPr>
                <w:color w:val="000000"/>
              </w:rPr>
              <w:t>—</w:t>
            </w:r>
          </w:p>
        </w:tc>
        <w:tc>
          <w:tcPr>
            <w:tcW w:w="95" w:type="dxa"/>
            <w:tcBorders>
              <w:right w:val="single" w:sz="12" w:space="0" w:color="000000"/>
            </w:tcBorders>
            <w:tcMar>
              <w:top w:w="0" w:type="dxa"/>
              <w:left w:w="0" w:type="dxa"/>
              <w:right w:w="28" w:type="dxa"/>
            </w:tcMar>
            <w:vAlign w:val="bottom"/>
          </w:tcPr>
          <w:p>
            <w:pPr>
              <w:pStyle w:val="TableContents"/>
              <w:bidi w:val="0"/>
              <w:spacing w:before="0" w:after="283"/>
              <w:jc w:val="left"/>
              <w:rPr/>
            </w:pPr>
            <w:r>
              <w:rPr/>
              <w:t> </w:t>
            </w:r>
          </w:p>
        </w:tc>
      </w:tr>
      <w:tr>
        <w:trPr/>
        <w:tc>
          <w:tcPr>
            <w:tcW w:w="4655" w:type="dxa"/>
            <w:tcBorders>
              <w:left w:val="single" w:sz="12" w:space="0" w:color="000000"/>
            </w:tcBorders>
            <w:shd w:fill="CCEEFF" w:val="clear"/>
            <w:tcMar>
              <w:top w:w="0" w:type="dxa"/>
            </w:tcMar>
            <w:vAlign w:val="bottom"/>
          </w:tcPr>
          <w:p>
            <w:pPr>
              <w:pStyle w:val="TableContents"/>
              <w:bidi w:val="0"/>
              <w:spacing w:before="0" w:after="0"/>
              <w:ind w:left="144" w:right="0" w:hanging="144"/>
              <w:jc w:val="left"/>
              <w:rPr>
                <w:color w:val="000000"/>
              </w:rPr>
            </w:pPr>
            <w:r>
              <w:rPr>
                <w:color w:val="000000"/>
              </w:rPr>
              <w:t>Issuance of shares upon exercise of stock options</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1220" w:type="dxa"/>
            <w:tcBorders/>
            <w:shd w:fill="CCEEFF" w:val="clear"/>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140" w:type="dxa"/>
            <w:tcBorders/>
            <w:shd w:fill="CCEEFF" w:val="clear"/>
            <w:tcMar>
              <w:top w:w="0" w:type="dxa"/>
              <w:left w:w="0" w:type="dxa"/>
            </w:tcMar>
            <w:vAlign w:val="bottom"/>
          </w:tcPr>
          <w:p>
            <w:pPr>
              <w:pStyle w:val="TableContents"/>
              <w:bidi w:val="0"/>
              <w:spacing w:before="0" w:after="283"/>
              <w:jc w:val="left"/>
              <w:rPr/>
            </w:pPr>
            <w:r>
              <w:rPr/>
              <w:t> </w:t>
            </w:r>
          </w:p>
        </w:tc>
        <w:tc>
          <w:tcPr>
            <w:tcW w:w="980" w:type="dxa"/>
            <w:tcBorders/>
            <w:shd w:fill="CCEEFF" w:val="clear"/>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left w:val="single" w:sz="12" w:space="0" w:color="000000"/>
            </w:tcBorders>
            <w:shd w:fill="CCEEFF" w:val="clear"/>
            <w:tcMar>
              <w:top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1100" w:type="dxa"/>
            <w:tcBorders/>
            <w:shd w:fill="CCEEFF" w:val="clear"/>
            <w:tcMar>
              <w:top w:w="0" w:type="dxa"/>
              <w:left w:w="0" w:type="dxa"/>
            </w:tcMar>
            <w:vAlign w:val="bottom"/>
          </w:tcPr>
          <w:p>
            <w:pPr>
              <w:pStyle w:val="TableContents"/>
              <w:bidi w:val="0"/>
              <w:spacing w:before="0" w:after="0"/>
              <w:jc w:val="right"/>
              <w:rPr>
                <w:color w:val="000000"/>
              </w:rPr>
            </w:pPr>
            <w:r>
              <w:rPr>
                <w:color w:val="000000"/>
              </w:rPr>
              <w:t>67,847</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301" w:type="dxa"/>
            <w:tcBorders/>
            <w:shd w:fill="CCEEFF" w:val="clear"/>
            <w:tcMar>
              <w:top w:w="0" w:type="dxa"/>
              <w:left w:w="0" w:type="dxa"/>
            </w:tcMar>
            <w:vAlign w:val="bottom"/>
          </w:tcPr>
          <w:p>
            <w:pPr>
              <w:pStyle w:val="TableContents"/>
              <w:bidi w:val="0"/>
              <w:spacing w:before="0" w:after="283"/>
              <w:jc w:val="left"/>
              <w:rPr/>
            </w:pPr>
            <w:r>
              <w:rPr/>
              <w:t> </w:t>
            </w:r>
          </w:p>
        </w:tc>
        <w:tc>
          <w:tcPr>
            <w:tcW w:w="559" w:type="dxa"/>
            <w:tcBorders/>
            <w:shd w:fill="CCEEFF" w:val="clear"/>
            <w:tcMar>
              <w:top w:w="0" w:type="dxa"/>
              <w:left w:w="0" w:type="dxa"/>
            </w:tcMar>
            <w:vAlign w:val="bottom"/>
          </w:tcPr>
          <w:p>
            <w:pPr>
              <w:pStyle w:val="TableContents"/>
              <w:bidi w:val="0"/>
              <w:spacing w:before="0" w:after="0"/>
              <w:jc w:val="right"/>
              <w:rPr>
                <w:color w:val="000000"/>
              </w:rPr>
            </w:pPr>
            <w:r>
              <w:rPr>
                <w:color w:val="000000"/>
              </w:rPr>
              <w:t>(1</w:t>
            </w:r>
          </w:p>
        </w:tc>
        <w:tc>
          <w:tcPr>
            <w:tcW w:w="95" w:type="dxa"/>
            <w:tcBorders/>
            <w:shd w:fill="CCEEFF" w:val="clear"/>
            <w:tcMar>
              <w:top w:w="0" w:type="dxa"/>
              <w:left w:w="0" w:type="dxa"/>
            </w:tcMar>
            <w:vAlign w:val="bottom"/>
          </w:tcPr>
          <w:p>
            <w:pPr>
              <w:pStyle w:val="TableContents"/>
              <w:bidi w:val="0"/>
              <w:spacing w:before="0" w:after="0"/>
              <w:jc w:val="left"/>
              <w:rPr>
                <w:color w:val="000000"/>
              </w:rPr>
            </w:pPr>
            <w:r>
              <w:rPr>
                <w:color w:val="000000"/>
              </w:rPr>
              <w:t>)</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187" w:type="dxa"/>
            <w:tcBorders/>
            <w:shd w:fill="CCEEFF" w:val="clear"/>
            <w:tcMar>
              <w:top w:w="0" w:type="dxa"/>
              <w:left w:w="0" w:type="dxa"/>
            </w:tcMar>
            <w:vAlign w:val="bottom"/>
          </w:tcPr>
          <w:p>
            <w:pPr>
              <w:pStyle w:val="TableContents"/>
              <w:bidi w:val="0"/>
              <w:spacing w:before="0" w:after="283"/>
              <w:jc w:val="left"/>
              <w:rPr/>
            </w:pPr>
            <w:r>
              <w:rPr/>
              <w:t> </w:t>
            </w:r>
          </w:p>
        </w:tc>
        <w:tc>
          <w:tcPr>
            <w:tcW w:w="913" w:type="dxa"/>
            <w:tcBorders/>
            <w:shd w:fill="CCEEFF" w:val="clear"/>
            <w:tcMar>
              <w:top w:w="0" w:type="dxa"/>
              <w:left w:w="0" w:type="dxa"/>
            </w:tcMar>
            <w:vAlign w:val="bottom"/>
          </w:tcPr>
          <w:p>
            <w:pPr>
              <w:pStyle w:val="TableContents"/>
              <w:bidi w:val="0"/>
              <w:spacing w:before="0" w:after="0"/>
              <w:jc w:val="right"/>
              <w:rPr>
                <w:color w:val="000000"/>
              </w:rPr>
            </w:pPr>
            <w:r>
              <w:rPr>
                <w:color w:val="000000"/>
              </w:rPr>
              <w:t>105</w:t>
            </w:r>
          </w:p>
        </w:tc>
        <w:tc>
          <w:tcPr>
            <w:tcW w:w="95"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174" w:type="dxa"/>
            <w:tcBorders/>
            <w:shd w:fill="CCEEFF" w:val="clear"/>
            <w:tcMar>
              <w:top w:w="0" w:type="dxa"/>
              <w:left w:w="0" w:type="dxa"/>
            </w:tcMar>
            <w:vAlign w:val="bottom"/>
          </w:tcPr>
          <w:p>
            <w:pPr>
              <w:pStyle w:val="TableContents"/>
              <w:bidi w:val="0"/>
              <w:spacing w:before="0" w:after="283"/>
              <w:jc w:val="left"/>
              <w:rPr/>
            </w:pPr>
            <w:r>
              <w:rPr/>
              <w:t> </w:t>
            </w:r>
          </w:p>
        </w:tc>
        <w:tc>
          <w:tcPr>
            <w:tcW w:w="791" w:type="dxa"/>
            <w:tcBorders/>
            <w:shd w:fill="CCEEFF" w:val="clear"/>
            <w:tcMar>
              <w:top w:w="0" w:type="dxa"/>
              <w:left w:w="0" w:type="dxa"/>
            </w:tcMar>
            <w:vAlign w:val="bottom"/>
          </w:tcPr>
          <w:p>
            <w:pPr>
              <w:pStyle w:val="TableContents"/>
              <w:bidi w:val="0"/>
              <w:spacing w:before="0" w:after="0"/>
              <w:jc w:val="right"/>
              <w:rPr>
                <w:color w:val="000000"/>
              </w:rPr>
            </w:pPr>
            <w:r>
              <w:rPr>
                <w:color w:val="000000"/>
              </w:rPr>
              <w:t>—</w:t>
            </w:r>
          </w:p>
        </w:tc>
        <w:tc>
          <w:tcPr>
            <w:tcW w:w="95"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433" w:type="dxa"/>
            <w:tcBorders/>
            <w:shd w:fill="CCEEFF" w:val="clear"/>
            <w:tcMar>
              <w:top w:w="0" w:type="dxa"/>
              <w:left w:w="0" w:type="dxa"/>
            </w:tcMar>
            <w:vAlign w:val="bottom"/>
          </w:tcPr>
          <w:p>
            <w:pPr>
              <w:pStyle w:val="TableContents"/>
              <w:bidi w:val="0"/>
              <w:spacing w:before="0" w:after="283"/>
              <w:jc w:val="left"/>
              <w:rPr/>
            </w:pPr>
            <w:r>
              <w:rPr/>
              <w:t> </w:t>
            </w:r>
          </w:p>
        </w:tc>
        <w:tc>
          <w:tcPr>
            <w:tcW w:w="1177" w:type="dxa"/>
            <w:tcBorders/>
            <w:shd w:fill="CCEEFF" w:val="clear"/>
            <w:tcMar>
              <w:top w:w="0" w:type="dxa"/>
              <w:left w:w="0" w:type="dxa"/>
            </w:tcMar>
            <w:vAlign w:val="bottom"/>
          </w:tcPr>
          <w:p>
            <w:pPr>
              <w:pStyle w:val="TableContents"/>
              <w:bidi w:val="0"/>
              <w:spacing w:before="0" w:after="0"/>
              <w:jc w:val="right"/>
              <w:rPr>
                <w:color w:val="000000"/>
              </w:rPr>
            </w:pPr>
            <w:r>
              <w:rPr>
                <w:color w:val="000000"/>
              </w:rPr>
              <w:t>—</w:t>
            </w:r>
          </w:p>
        </w:tc>
        <w:tc>
          <w:tcPr>
            <w:tcW w:w="95"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160" w:type="dxa"/>
            <w:tcBorders/>
            <w:shd w:fill="CCEEFF" w:val="clear"/>
            <w:tcMar>
              <w:top w:w="0" w:type="dxa"/>
              <w:left w:w="0" w:type="dxa"/>
            </w:tcMar>
            <w:vAlign w:val="bottom"/>
          </w:tcPr>
          <w:p>
            <w:pPr>
              <w:pStyle w:val="TableContents"/>
              <w:bidi w:val="0"/>
              <w:spacing w:before="0" w:after="283"/>
              <w:jc w:val="left"/>
              <w:rPr/>
            </w:pPr>
            <w:r>
              <w:rPr/>
              <w:t> </w:t>
            </w:r>
          </w:p>
        </w:tc>
        <w:tc>
          <w:tcPr>
            <w:tcW w:w="1210" w:type="dxa"/>
            <w:tcBorders/>
            <w:shd w:fill="CCEEFF" w:val="clear"/>
            <w:tcMar>
              <w:top w:w="0" w:type="dxa"/>
              <w:left w:w="0" w:type="dxa"/>
            </w:tcMar>
            <w:vAlign w:val="bottom"/>
          </w:tcPr>
          <w:p>
            <w:pPr>
              <w:pStyle w:val="TableContents"/>
              <w:bidi w:val="0"/>
              <w:spacing w:before="0" w:after="0"/>
              <w:jc w:val="right"/>
              <w:rPr>
                <w:color w:val="000000"/>
              </w:rPr>
            </w:pPr>
            <w:r>
              <w:rPr>
                <w:color w:val="000000"/>
              </w:rPr>
              <w:t>—</w:t>
            </w:r>
          </w:p>
        </w:tc>
        <w:tc>
          <w:tcPr>
            <w:tcW w:w="95"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156" w:type="dxa"/>
            <w:tcBorders/>
            <w:shd w:fill="CCEEFF" w:val="clear"/>
            <w:tcMar>
              <w:top w:w="0" w:type="dxa"/>
              <w:left w:w="0" w:type="dxa"/>
            </w:tcMar>
            <w:vAlign w:val="bottom"/>
          </w:tcPr>
          <w:p>
            <w:pPr>
              <w:pStyle w:val="TableContents"/>
              <w:bidi w:val="0"/>
              <w:spacing w:before="0" w:after="283"/>
              <w:jc w:val="left"/>
              <w:rPr/>
            </w:pPr>
            <w:r>
              <w:rPr/>
              <w:t> </w:t>
            </w:r>
          </w:p>
        </w:tc>
        <w:tc>
          <w:tcPr>
            <w:tcW w:w="1184" w:type="dxa"/>
            <w:tcBorders/>
            <w:shd w:fill="CCEEFF" w:val="clear"/>
            <w:tcMar>
              <w:top w:w="0" w:type="dxa"/>
              <w:left w:w="0" w:type="dxa"/>
            </w:tcMar>
            <w:vAlign w:val="bottom"/>
          </w:tcPr>
          <w:p>
            <w:pPr>
              <w:pStyle w:val="TableContents"/>
              <w:bidi w:val="0"/>
              <w:spacing w:before="0" w:after="0"/>
              <w:jc w:val="right"/>
              <w:rPr>
                <w:color w:val="000000"/>
              </w:rPr>
            </w:pPr>
            <w:r>
              <w:rPr>
                <w:color w:val="000000"/>
              </w:rPr>
              <w:t>104</w:t>
            </w:r>
          </w:p>
        </w:tc>
        <w:tc>
          <w:tcPr>
            <w:tcW w:w="95" w:type="dxa"/>
            <w:tcBorders>
              <w:right w:val="single" w:sz="12" w:space="0" w:color="000000"/>
            </w:tcBorders>
            <w:shd w:fill="CCEEFF" w:val="clear"/>
            <w:tcMar>
              <w:top w:w="0" w:type="dxa"/>
              <w:left w:w="0" w:type="dxa"/>
              <w:right w:w="28" w:type="dxa"/>
            </w:tcMar>
            <w:vAlign w:val="bottom"/>
          </w:tcPr>
          <w:p>
            <w:pPr>
              <w:pStyle w:val="TableContents"/>
              <w:bidi w:val="0"/>
              <w:spacing w:before="0" w:after="283"/>
              <w:jc w:val="left"/>
              <w:rPr/>
            </w:pPr>
            <w:r>
              <w:rPr/>
              <w:t> </w:t>
            </w:r>
          </w:p>
        </w:tc>
      </w:tr>
      <w:tr>
        <w:trPr/>
        <w:tc>
          <w:tcPr>
            <w:tcW w:w="4655" w:type="dxa"/>
            <w:tcBorders>
              <w:left w:val="single" w:sz="12" w:space="0" w:color="000000"/>
            </w:tcBorders>
            <w:tcMar>
              <w:top w:w="0" w:type="dxa"/>
            </w:tcMar>
            <w:vAlign w:val="bottom"/>
          </w:tcPr>
          <w:p>
            <w:pPr>
              <w:pStyle w:val="TableContents"/>
              <w:bidi w:val="0"/>
              <w:spacing w:before="0" w:after="0"/>
              <w:ind w:left="144" w:right="0" w:hanging="144"/>
              <w:jc w:val="left"/>
              <w:rPr>
                <w:color w:val="000000"/>
              </w:rPr>
            </w:pPr>
            <w:r>
              <w:rPr>
                <w:color w:val="000000"/>
              </w:rPr>
              <w:t>Stock-based compensation expense</w:t>
            </w:r>
          </w:p>
        </w:tc>
        <w:tc>
          <w:tcPr>
            <w:tcW w:w="60" w:type="dxa"/>
            <w:tcBorders/>
            <w:tcMar>
              <w:top w:w="0" w:type="dxa"/>
              <w:left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1220" w:type="dxa"/>
            <w:tcBorders/>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tcMar>
              <w:top w:w="0" w:type="dxa"/>
              <w:left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140" w:type="dxa"/>
            <w:tcBorders/>
            <w:tcMar>
              <w:top w:w="0" w:type="dxa"/>
              <w:left w:w="0" w:type="dxa"/>
            </w:tcMar>
            <w:vAlign w:val="bottom"/>
          </w:tcPr>
          <w:p>
            <w:pPr>
              <w:pStyle w:val="TableContents"/>
              <w:bidi w:val="0"/>
              <w:spacing w:before="0" w:after="283"/>
              <w:jc w:val="left"/>
              <w:rPr/>
            </w:pPr>
            <w:r>
              <w:rPr/>
              <w:t> </w:t>
            </w:r>
          </w:p>
        </w:tc>
        <w:tc>
          <w:tcPr>
            <w:tcW w:w="980" w:type="dxa"/>
            <w:tcBorders/>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tcMar>
              <w:top w:w="0" w:type="dxa"/>
              <w:left w:w="0" w:type="dxa"/>
            </w:tcMar>
            <w:vAlign w:val="bottom"/>
          </w:tcPr>
          <w:p>
            <w:pPr>
              <w:pStyle w:val="TableContents"/>
              <w:bidi w:val="0"/>
              <w:spacing w:before="0" w:after="283"/>
              <w:jc w:val="left"/>
              <w:rPr/>
            </w:pPr>
            <w:r>
              <w:rPr/>
              <w:t> </w:t>
            </w:r>
          </w:p>
        </w:tc>
        <w:tc>
          <w:tcPr>
            <w:tcW w:w="60" w:type="dxa"/>
            <w:tcBorders>
              <w:left w:val="single" w:sz="12" w:space="0" w:color="000000"/>
            </w:tcBorders>
            <w:tcMar>
              <w:top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1100" w:type="dxa"/>
            <w:tcBorders/>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tcMar>
              <w:top w:w="0" w:type="dxa"/>
              <w:left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301" w:type="dxa"/>
            <w:tcBorders/>
            <w:tcMar>
              <w:top w:w="0" w:type="dxa"/>
              <w:left w:w="0" w:type="dxa"/>
            </w:tcMar>
            <w:vAlign w:val="bottom"/>
          </w:tcPr>
          <w:p>
            <w:pPr>
              <w:pStyle w:val="TableContents"/>
              <w:bidi w:val="0"/>
              <w:spacing w:before="0" w:after="283"/>
              <w:jc w:val="left"/>
              <w:rPr/>
            </w:pPr>
            <w:r>
              <w:rPr/>
              <w:t> </w:t>
            </w:r>
          </w:p>
        </w:tc>
        <w:tc>
          <w:tcPr>
            <w:tcW w:w="559" w:type="dxa"/>
            <w:tcBorders/>
            <w:tcMar>
              <w:top w:w="0" w:type="dxa"/>
              <w:left w:w="0" w:type="dxa"/>
            </w:tcMar>
            <w:vAlign w:val="bottom"/>
          </w:tcPr>
          <w:p>
            <w:pPr>
              <w:pStyle w:val="TableContents"/>
              <w:bidi w:val="0"/>
              <w:spacing w:before="0" w:after="0"/>
              <w:jc w:val="right"/>
              <w:rPr>
                <w:color w:val="000000"/>
              </w:rPr>
            </w:pPr>
            <w:r>
              <w:rPr>
                <w:color w:val="000000"/>
              </w:rPr>
              <w:t>—</w:t>
            </w:r>
          </w:p>
        </w:tc>
        <w:tc>
          <w:tcPr>
            <w:tcW w:w="95" w:type="dxa"/>
            <w:tcBorders/>
            <w:tcMar>
              <w:top w:w="0" w:type="dxa"/>
              <w:left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187" w:type="dxa"/>
            <w:tcBorders/>
            <w:tcMar>
              <w:top w:w="0" w:type="dxa"/>
              <w:left w:w="0" w:type="dxa"/>
            </w:tcMar>
            <w:vAlign w:val="bottom"/>
          </w:tcPr>
          <w:p>
            <w:pPr>
              <w:pStyle w:val="TableContents"/>
              <w:bidi w:val="0"/>
              <w:spacing w:before="0" w:after="283"/>
              <w:jc w:val="left"/>
              <w:rPr/>
            </w:pPr>
            <w:r>
              <w:rPr/>
              <w:t> </w:t>
            </w:r>
          </w:p>
        </w:tc>
        <w:tc>
          <w:tcPr>
            <w:tcW w:w="913" w:type="dxa"/>
            <w:tcBorders/>
            <w:tcMar>
              <w:top w:w="0" w:type="dxa"/>
              <w:left w:w="0" w:type="dxa"/>
            </w:tcMar>
            <w:vAlign w:val="bottom"/>
          </w:tcPr>
          <w:p>
            <w:pPr>
              <w:pStyle w:val="TableContents"/>
              <w:bidi w:val="0"/>
              <w:spacing w:before="0" w:after="0"/>
              <w:jc w:val="right"/>
              <w:rPr>
                <w:color w:val="000000"/>
              </w:rPr>
            </w:pPr>
            <w:r>
              <w:rPr>
                <w:color w:val="000000"/>
              </w:rPr>
              <w:t>5,014</w:t>
            </w:r>
          </w:p>
        </w:tc>
        <w:tc>
          <w:tcPr>
            <w:tcW w:w="95" w:type="dxa"/>
            <w:tcBorders/>
            <w:tcMar>
              <w:top w:w="0" w:type="dxa"/>
              <w:left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174" w:type="dxa"/>
            <w:tcBorders/>
            <w:tcMar>
              <w:top w:w="0" w:type="dxa"/>
              <w:left w:w="0" w:type="dxa"/>
            </w:tcMar>
            <w:vAlign w:val="bottom"/>
          </w:tcPr>
          <w:p>
            <w:pPr>
              <w:pStyle w:val="TableContents"/>
              <w:bidi w:val="0"/>
              <w:spacing w:before="0" w:after="283"/>
              <w:jc w:val="left"/>
              <w:rPr/>
            </w:pPr>
            <w:r>
              <w:rPr/>
              <w:t> </w:t>
            </w:r>
          </w:p>
        </w:tc>
        <w:tc>
          <w:tcPr>
            <w:tcW w:w="791" w:type="dxa"/>
            <w:tcBorders/>
            <w:tcMar>
              <w:top w:w="0" w:type="dxa"/>
              <w:left w:w="0" w:type="dxa"/>
            </w:tcMar>
            <w:vAlign w:val="bottom"/>
          </w:tcPr>
          <w:p>
            <w:pPr>
              <w:pStyle w:val="TableContents"/>
              <w:bidi w:val="0"/>
              <w:spacing w:before="0" w:after="0"/>
              <w:jc w:val="right"/>
              <w:rPr>
                <w:color w:val="000000"/>
              </w:rPr>
            </w:pPr>
            <w:r>
              <w:rPr>
                <w:color w:val="000000"/>
              </w:rPr>
              <w:t>—</w:t>
            </w:r>
          </w:p>
        </w:tc>
        <w:tc>
          <w:tcPr>
            <w:tcW w:w="95" w:type="dxa"/>
            <w:tcBorders/>
            <w:tcMar>
              <w:top w:w="0" w:type="dxa"/>
              <w:left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433" w:type="dxa"/>
            <w:tcBorders/>
            <w:tcMar>
              <w:top w:w="0" w:type="dxa"/>
              <w:left w:w="0" w:type="dxa"/>
            </w:tcMar>
            <w:vAlign w:val="bottom"/>
          </w:tcPr>
          <w:p>
            <w:pPr>
              <w:pStyle w:val="TableContents"/>
              <w:bidi w:val="0"/>
              <w:spacing w:before="0" w:after="283"/>
              <w:jc w:val="left"/>
              <w:rPr/>
            </w:pPr>
            <w:r>
              <w:rPr/>
              <w:t> </w:t>
            </w:r>
          </w:p>
        </w:tc>
        <w:tc>
          <w:tcPr>
            <w:tcW w:w="1177" w:type="dxa"/>
            <w:tcBorders/>
            <w:tcMar>
              <w:top w:w="0" w:type="dxa"/>
              <w:left w:w="0" w:type="dxa"/>
            </w:tcMar>
            <w:vAlign w:val="bottom"/>
          </w:tcPr>
          <w:p>
            <w:pPr>
              <w:pStyle w:val="TableContents"/>
              <w:bidi w:val="0"/>
              <w:spacing w:before="0" w:after="0"/>
              <w:jc w:val="right"/>
              <w:rPr>
                <w:color w:val="000000"/>
              </w:rPr>
            </w:pPr>
            <w:r>
              <w:rPr>
                <w:color w:val="000000"/>
              </w:rPr>
              <w:t>—</w:t>
            </w:r>
          </w:p>
        </w:tc>
        <w:tc>
          <w:tcPr>
            <w:tcW w:w="95" w:type="dxa"/>
            <w:tcBorders/>
            <w:tcMar>
              <w:top w:w="0" w:type="dxa"/>
              <w:left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160" w:type="dxa"/>
            <w:tcBorders/>
            <w:tcMar>
              <w:top w:w="0" w:type="dxa"/>
              <w:left w:w="0" w:type="dxa"/>
            </w:tcMar>
            <w:vAlign w:val="bottom"/>
          </w:tcPr>
          <w:p>
            <w:pPr>
              <w:pStyle w:val="TableContents"/>
              <w:bidi w:val="0"/>
              <w:spacing w:before="0" w:after="283"/>
              <w:jc w:val="left"/>
              <w:rPr/>
            </w:pPr>
            <w:r>
              <w:rPr/>
              <w:t> </w:t>
            </w:r>
          </w:p>
        </w:tc>
        <w:tc>
          <w:tcPr>
            <w:tcW w:w="1210" w:type="dxa"/>
            <w:tcBorders/>
            <w:tcMar>
              <w:top w:w="0" w:type="dxa"/>
              <w:left w:w="0" w:type="dxa"/>
            </w:tcMar>
            <w:vAlign w:val="bottom"/>
          </w:tcPr>
          <w:p>
            <w:pPr>
              <w:pStyle w:val="TableContents"/>
              <w:bidi w:val="0"/>
              <w:spacing w:before="0" w:after="0"/>
              <w:jc w:val="right"/>
              <w:rPr>
                <w:color w:val="000000"/>
              </w:rPr>
            </w:pPr>
            <w:r>
              <w:rPr>
                <w:color w:val="000000"/>
              </w:rPr>
              <w:t>—</w:t>
            </w:r>
          </w:p>
        </w:tc>
        <w:tc>
          <w:tcPr>
            <w:tcW w:w="95" w:type="dxa"/>
            <w:tcBorders/>
            <w:tcMar>
              <w:top w:w="0" w:type="dxa"/>
              <w:left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156" w:type="dxa"/>
            <w:tcBorders/>
            <w:tcMar>
              <w:top w:w="0" w:type="dxa"/>
              <w:left w:w="0" w:type="dxa"/>
            </w:tcMar>
            <w:vAlign w:val="bottom"/>
          </w:tcPr>
          <w:p>
            <w:pPr>
              <w:pStyle w:val="TableContents"/>
              <w:bidi w:val="0"/>
              <w:spacing w:before="0" w:after="283"/>
              <w:jc w:val="left"/>
              <w:rPr/>
            </w:pPr>
            <w:r>
              <w:rPr/>
              <w:t> </w:t>
            </w:r>
          </w:p>
        </w:tc>
        <w:tc>
          <w:tcPr>
            <w:tcW w:w="1184" w:type="dxa"/>
            <w:tcBorders/>
            <w:tcMar>
              <w:top w:w="0" w:type="dxa"/>
              <w:left w:w="0" w:type="dxa"/>
            </w:tcMar>
            <w:vAlign w:val="bottom"/>
          </w:tcPr>
          <w:p>
            <w:pPr>
              <w:pStyle w:val="TableContents"/>
              <w:bidi w:val="0"/>
              <w:spacing w:before="0" w:after="0"/>
              <w:jc w:val="right"/>
              <w:rPr>
                <w:color w:val="000000"/>
              </w:rPr>
            </w:pPr>
            <w:r>
              <w:rPr>
                <w:color w:val="000000"/>
              </w:rPr>
              <w:t>5,014</w:t>
            </w:r>
          </w:p>
        </w:tc>
        <w:tc>
          <w:tcPr>
            <w:tcW w:w="95" w:type="dxa"/>
            <w:tcBorders>
              <w:right w:val="single" w:sz="12" w:space="0" w:color="000000"/>
            </w:tcBorders>
            <w:tcMar>
              <w:top w:w="0" w:type="dxa"/>
              <w:left w:w="0" w:type="dxa"/>
              <w:right w:w="28" w:type="dxa"/>
            </w:tcMar>
            <w:vAlign w:val="bottom"/>
          </w:tcPr>
          <w:p>
            <w:pPr>
              <w:pStyle w:val="TableContents"/>
              <w:bidi w:val="0"/>
              <w:spacing w:before="0" w:after="283"/>
              <w:jc w:val="left"/>
              <w:rPr/>
            </w:pPr>
            <w:r>
              <w:rPr/>
              <w:t> </w:t>
            </w:r>
          </w:p>
        </w:tc>
      </w:tr>
      <w:tr>
        <w:trPr/>
        <w:tc>
          <w:tcPr>
            <w:tcW w:w="4655" w:type="dxa"/>
            <w:tcBorders>
              <w:left w:val="single" w:sz="12" w:space="0" w:color="000000"/>
            </w:tcBorders>
            <w:shd w:fill="CCEEFF" w:val="clear"/>
            <w:tcMar>
              <w:top w:w="0" w:type="dxa"/>
            </w:tcMar>
            <w:vAlign w:val="bottom"/>
          </w:tcPr>
          <w:p>
            <w:pPr>
              <w:pStyle w:val="TableContents"/>
              <w:bidi w:val="0"/>
              <w:spacing w:before="0" w:after="0"/>
              <w:ind w:left="144" w:right="0" w:hanging="144"/>
              <w:jc w:val="left"/>
              <w:rPr>
                <w:color w:val="000000"/>
              </w:rPr>
            </w:pPr>
            <w:r>
              <w:rPr>
                <w:color w:val="000000"/>
              </w:rPr>
              <w:t>Unrealized loss on available for-sale securities</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1220" w:type="dxa"/>
            <w:tcBorders/>
            <w:shd w:fill="CCEEFF" w:val="clear"/>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140" w:type="dxa"/>
            <w:tcBorders/>
            <w:shd w:fill="CCEEFF" w:val="clear"/>
            <w:tcMar>
              <w:top w:w="0" w:type="dxa"/>
              <w:left w:w="0" w:type="dxa"/>
            </w:tcMar>
            <w:vAlign w:val="bottom"/>
          </w:tcPr>
          <w:p>
            <w:pPr>
              <w:pStyle w:val="TableContents"/>
              <w:bidi w:val="0"/>
              <w:spacing w:before="0" w:after="283"/>
              <w:jc w:val="left"/>
              <w:rPr/>
            </w:pPr>
            <w:r>
              <w:rPr/>
              <w:t> </w:t>
            </w:r>
          </w:p>
        </w:tc>
        <w:tc>
          <w:tcPr>
            <w:tcW w:w="980" w:type="dxa"/>
            <w:tcBorders/>
            <w:shd w:fill="CCEEFF" w:val="clear"/>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left w:val="single" w:sz="12" w:space="0" w:color="000000"/>
            </w:tcBorders>
            <w:shd w:fill="CCEEFF" w:val="clear"/>
            <w:tcMar>
              <w:top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1100" w:type="dxa"/>
            <w:tcBorders/>
            <w:shd w:fill="CCEEFF" w:val="clear"/>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301" w:type="dxa"/>
            <w:tcBorders/>
            <w:shd w:fill="CCEEFF" w:val="clear"/>
            <w:tcMar>
              <w:top w:w="0" w:type="dxa"/>
              <w:left w:w="0" w:type="dxa"/>
            </w:tcMar>
            <w:vAlign w:val="bottom"/>
          </w:tcPr>
          <w:p>
            <w:pPr>
              <w:pStyle w:val="TableContents"/>
              <w:bidi w:val="0"/>
              <w:spacing w:before="0" w:after="283"/>
              <w:jc w:val="left"/>
              <w:rPr/>
            </w:pPr>
            <w:r>
              <w:rPr/>
              <w:t> </w:t>
            </w:r>
          </w:p>
        </w:tc>
        <w:tc>
          <w:tcPr>
            <w:tcW w:w="559" w:type="dxa"/>
            <w:tcBorders/>
            <w:shd w:fill="CCEEFF" w:val="clear"/>
            <w:tcMar>
              <w:top w:w="0" w:type="dxa"/>
              <w:left w:w="0" w:type="dxa"/>
            </w:tcMar>
            <w:vAlign w:val="bottom"/>
          </w:tcPr>
          <w:p>
            <w:pPr>
              <w:pStyle w:val="TableContents"/>
              <w:bidi w:val="0"/>
              <w:spacing w:before="0" w:after="0"/>
              <w:jc w:val="right"/>
              <w:rPr>
                <w:color w:val="000000"/>
              </w:rPr>
            </w:pPr>
            <w:r>
              <w:rPr>
                <w:color w:val="000000"/>
              </w:rPr>
              <w:t>—</w:t>
            </w:r>
          </w:p>
        </w:tc>
        <w:tc>
          <w:tcPr>
            <w:tcW w:w="95"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187" w:type="dxa"/>
            <w:tcBorders/>
            <w:shd w:fill="CCEEFF" w:val="clear"/>
            <w:tcMar>
              <w:top w:w="0" w:type="dxa"/>
              <w:left w:w="0" w:type="dxa"/>
            </w:tcMar>
            <w:vAlign w:val="bottom"/>
          </w:tcPr>
          <w:p>
            <w:pPr>
              <w:pStyle w:val="TableContents"/>
              <w:bidi w:val="0"/>
              <w:spacing w:before="0" w:after="283"/>
              <w:jc w:val="left"/>
              <w:rPr/>
            </w:pPr>
            <w:r>
              <w:rPr/>
              <w:t> </w:t>
            </w:r>
          </w:p>
        </w:tc>
        <w:tc>
          <w:tcPr>
            <w:tcW w:w="913" w:type="dxa"/>
            <w:tcBorders/>
            <w:shd w:fill="CCEEFF" w:val="clear"/>
            <w:tcMar>
              <w:top w:w="0" w:type="dxa"/>
              <w:left w:w="0" w:type="dxa"/>
            </w:tcMar>
            <w:vAlign w:val="bottom"/>
          </w:tcPr>
          <w:p>
            <w:pPr>
              <w:pStyle w:val="TableContents"/>
              <w:bidi w:val="0"/>
              <w:spacing w:before="0" w:after="0"/>
              <w:jc w:val="right"/>
              <w:rPr>
                <w:color w:val="000000"/>
              </w:rPr>
            </w:pPr>
            <w:r>
              <w:rPr>
                <w:color w:val="000000"/>
              </w:rPr>
              <w:t>—</w:t>
            </w:r>
          </w:p>
        </w:tc>
        <w:tc>
          <w:tcPr>
            <w:tcW w:w="95"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174" w:type="dxa"/>
            <w:tcBorders/>
            <w:shd w:fill="CCEEFF" w:val="clear"/>
            <w:tcMar>
              <w:top w:w="0" w:type="dxa"/>
              <w:left w:w="0" w:type="dxa"/>
            </w:tcMar>
            <w:vAlign w:val="bottom"/>
          </w:tcPr>
          <w:p>
            <w:pPr>
              <w:pStyle w:val="TableContents"/>
              <w:bidi w:val="0"/>
              <w:spacing w:before="0" w:after="283"/>
              <w:jc w:val="left"/>
              <w:rPr/>
            </w:pPr>
            <w:r>
              <w:rPr/>
              <w:t> </w:t>
            </w:r>
          </w:p>
        </w:tc>
        <w:tc>
          <w:tcPr>
            <w:tcW w:w="791" w:type="dxa"/>
            <w:tcBorders/>
            <w:shd w:fill="CCEEFF" w:val="clear"/>
            <w:tcMar>
              <w:top w:w="0" w:type="dxa"/>
              <w:left w:w="0" w:type="dxa"/>
            </w:tcMar>
            <w:vAlign w:val="bottom"/>
          </w:tcPr>
          <w:p>
            <w:pPr>
              <w:pStyle w:val="TableContents"/>
              <w:bidi w:val="0"/>
              <w:spacing w:before="0" w:after="0"/>
              <w:jc w:val="right"/>
              <w:rPr>
                <w:color w:val="000000"/>
              </w:rPr>
            </w:pPr>
            <w:r>
              <w:rPr>
                <w:color w:val="000000"/>
              </w:rPr>
              <w:t>—</w:t>
            </w:r>
          </w:p>
        </w:tc>
        <w:tc>
          <w:tcPr>
            <w:tcW w:w="95"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433" w:type="dxa"/>
            <w:tcBorders/>
            <w:shd w:fill="CCEEFF" w:val="clear"/>
            <w:tcMar>
              <w:top w:w="0" w:type="dxa"/>
              <w:left w:w="0" w:type="dxa"/>
            </w:tcMar>
            <w:vAlign w:val="bottom"/>
          </w:tcPr>
          <w:p>
            <w:pPr>
              <w:pStyle w:val="TableContents"/>
              <w:bidi w:val="0"/>
              <w:spacing w:before="0" w:after="283"/>
              <w:jc w:val="left"/>
              <w:rPr/>
            </w:pPr>
            <w:r>
              <w:rPr/>
              <w:t> </w:t>
            </w:r>
          </w:p>
        </w:tc>
        <w:tc>
          <w:tcPr>
            <w:tcW w:w="1177" w:type="dxa"/>
            <w:tcBorders/>
            <w:shd w:fill="CCEEFF" w:val="clear"/>
            <w:tcMar>
              <w:top w:w="0" w:type="dxa"/>
              <w:left w:w="0" w:type="dxa"/>
            </w:tcMar>
            <w:vAlign w:val="bottom"/>
          </w:tcPr>
          <w:p>
            <w:pPr>
              <w:pStyle w:val="TableContents"/>
              <w:bidi w:val="0"/>
              <w:spacing w:before="0" w:after="0"/>
              <w:jc w:val="right"/>
              <w:rPr>
                <w:color w:val="000000"/>
              </w:rPr>
            </w:pPr>
            <w:r>
              <w:rPr>
                <w:color w:val="000000"/>
              </w:rPr>
              <w:t>(87</w:t>
            </w:r>
          </w:p>
        </w:tc>
        <w:tc>
          <w:tcPr>
            <w:tcW w:w="95" w:type="dxa"/>
            <w:tcBorders/>
            <w:shd w:fill="CCEEFF" w:val="clear"/>
            <w:tcMar>
              <w:top w:w="0" w:type="dxa"/>
              <w:left w:w="0" w:type="dxa"/>
            </w:tcMar>
            <w:vAlign w:val="bottom"/>
          </w:tcPr>
          <w:p>
            <w:pPr>
              <w:pStyle w:val="TableContents"/>
              <w:bidi w:val="0"/>
              <w:spacing w:before="0" w:after="0"/>
              <w:jc w:val="left"/>
              <w:rPr>
                <w:color w:val="000000"/>
              </w:rPr>
            </w:pPr>
            <w:r>
              <w:rPr>
                <w:color w:val="000000"/>
              </w:rPr>
              <w:t>)</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160" w:type="dxa"/>
            <w:tcBorders/>
            <w:shd w:fill="CCEEFF" w:val="clear"/>
            <w:tcMar>
              <w:top w:w="0" w:type="dxa"/>
              <w:left w:w="0" w:type="dxa"/>
            </w:tcMar>
            <w:vAlign w:val="bottom"/>
          </w:tcPr>
          <w:p>
            <w:pPr>
              <w:pStyle w:val="TableContents"/>
              <w:bidi w:val="0"/>
              <w:spacing w:before="0" w:after="283"/>
              <w:jc w:val="left"/>
              <w:rPr/>
            </w:pPr>
            <w:r>
              <w:rPr/>
              <w:t> </w:t>
            </w:r>
          </w:p>
        </w:tc>
        <w:tc>
          <w:tcPr>
            <w:tcW w:w="1210" w:type="dxa"/>
            <w:tcBorders/>
            <w:shd w:fill="CCEEFF" w:val="clear"/>
            <w:tcMar>
              <w:top w:w="0" w:type="dxa"/>
              <w:left w:w="0" w:type="dxa"/>
            </w:tcMar>
            <w:vAlign w:val="bottom"/>
          </w:tcPr>
          <w:p>
            <w:pPr>
              <w:pStyle w:val="TableContents"/>
              <w:bidi w:val="0"/>
              <w:spacing w:before="0" w:after="0"/>
              <w:jc w:val="right"/>
              <w:rPr>
                <w:color w:val="000000"/>
              </w:rPr>
            </w:pPr>
            <w:r>
              <w:rPr>
                <w:color w:val="000000"/>
              </w:rPr>
              <w:t>—</w:t>
            </w:r>
          </w:p>
        </w:tc>
        <w:tc>
          <w:tcPr>
            <w:tcW w:w="95"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156" w:type="dxa"/>
            <w:tcBorders/>
            <w:shd w:fill="CCEEFF" w:val="clear"/>
            <w:tcMar>
              <w:top w:w="0" w:type="dxa"/>
              <w:left w:w="0" w:type="dxa"/>
            </w:tcMar>
            <w:vAlign w:val="bottom"/>
          </w:tcPr>
          <w:p>
            <w:pPr>
              <w:pStyle w:val="TableContents"/>
              <w:bidi w:val="0"/>
              <w:spacing w:before="0" w:after="283"/>
              <w:jc w:val="left"/>
              <w:rPr/>
            </w:pPr>
            <w:r>
              <w:rPr/>
              <w:t> </w:t>
            </w:r>
          </w:p>
        </w:tc>
        <w:tc>
          <w:tcPr>
            <w:tcW w:w="1184" w:type="dxa"/>
            <w:tcBorders/>
            <w:shd w:fill="CCEEFF" w:val="clear"/>
            <w:tcMar>
              <w:top w:w="0" w:type="dxa"/>
              <w:left w:w="0" w:type="dxa"/>
            </w:tcMar>
            <w:vAlign w:val="bottom"/>
          </w:tcPr>
          <w:p>
            <w:pPr>
              <w:pStyle w:val="TableContents"/>
              <w:bidi w:val="0"/>
              <w:spacing w:before="0" w:after="0"/>
              <w:jc w:val="right"/>
              <w:rPr>
                <w:color w:val="000000"/>
              </w:rPr>
            </w:pPr>
            <w:r>
              <w:rPr>
                <w:color w:val="000000"/>
              </w:rPr>
              <w:t>(87</w:t>
            </w:r>
          </w:p>
        </w:tc>
        <w:tc>
          <w:tcPr>
            <w:tcW w:w="95" w:type="dxa"/>
            <w:tcBorders>
              <w:right w:val="single" w:sz="12" w:space="0" w:color="000000"/>
            </w:tcBorders>
            <w:shd w:fill="CCEEFF" w:val="clear"/>
            <w:tcMar>
              <w:top w:w="0" w:type="dxa"/>
              <w:left w:w="0" w:type="dxa"/>
              <w:right w:w="28" w:type="dxa"/>
            </w:tcMar>
            <w:vAlign w:val="bottom"/>
          </w:tcPr>
          <w:p>
            <w:pPr>
              <w:pStyle w:val="TableContents"/>
              <w:bidi w:val="0"/>
              <w:spacing w:before="0" w:after="0"/>
              <w:jc w:val="left"/>
              <w:rPr>
                <w:color w:val="000000"/>
              </w:rPr>
            </w:pPr>
            <w:r>
              <w:rPr>
                <w:color w:val="000000"/>
              </w:rPr>
              <w:t>)</w:t>
            </w:r>
          </w:p>
        </w:tc>
      </w:tr>
      <w:tr>
        <w:trPr/>
        <w:tc>
          <w:tcPr>
            <w:tcW w:w="4655" w:type="dxa"/>
            <w:tcBorders>
              <w:left w:val="single" w:sz="12" w:space="0" w:color="000000"/>
            </w:tcBorders>
            <w:tcMar>
              <w:top w:w="0" w:type="dxa"/>
            </w:tcMar>
            <w:vAlign w:val="bottom"/>
          </w:tcPr>
          <w:p>
            <w:pPr>
              <w:pStyle w:val="TableContents"/>
              <w:bidi w:val="0"/>
              <w:spacing w:before="0" w:after="0"/>
              <w:ind w:left="144" w:right="0" w:hanging="144"/>
              <w:jc w:val="left"/>
              <w:rPr>
                <w:color w:val="000000"/>
              </w:rPr>
            </w:pPr>
            <w:r>
              <w:rPr>
                <w:color w:val="000000"/>
              </w:rPr>
              <w:t>Foreign currency translation adjustment</w:t>
            </w:r>
          </w:p>
        </w:tc>
        <w:tc>
          <w:tcPr>
            <w:tcW w:w="60" w:type="dxa"/>
            <w:tcBorders/>
            <w:tcMar>
              <w:top w:w="0" w:type="dxa"/>
              <w:left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1220" w:type="dxa"/>
            <w:tcBorders/>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tcMar>
              <w:top w:w="0" w:type="dxa"/>
              <w:left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140" w:type="dxa"/>
            <w:tcBorders/>
            <w:tcMar>
              <w:top w:w="0" w:type="dxa"/>
              <w:left w:w="0" w:type="dxa"/>
            </w:tcMar>
            <w:vAlign w:val="bottom"/>
          </w:tcPr>
          <w:p>
            <w:pPr>
              <w:pStyle w:val="TableContents"/>
              <w:bidi w:val="0"/>
              <w:spacing w:before="0" w:after="283"/>
              <w:jc w:val="left"/>
              <w:rPr/>
            </w:pPr>
            <w:r>
              <w:rPr/>
              <w:t> </w:t>
            </w:r>
          </w:p>
        </w:tc>
        <w:tc>
          <w:tcPr>
            <w:tcW w:w="980" w:type="dxa"/>
            <w:tcBorders/>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tcMar>
              <w:top w:w="0" w:type="dxa"/>
              <w:left w:w="0" w:type="dxa"/>
            </w:tcMar>
            <w:vAlign w:val="bottom"/>
          </w:tcPr>
          <w:p>
            <w:pPr>
              <w:pStyle w:val="TableContents"/>
              <w:bidi w:val="0"/>
              <w:spacing w:before="0" w:after="283"/>
              <w:jc w:val="left"/>
              <w:rPr/>
            </w:pPr>
            <w:r>
              <w:rPr/>
              <w:t> </w:t>
            </w:r>
          </w:p>
        </w:tc>
        <w:tc>
          <w:tcPr>
            <w:tcW w:w="60" w:type="dxa"/>
            <w:tcBorders>
              <w:left w:val="single" w:sz="12" w:space="0" w:color="000000"/>
            </w:tcBorders>
            <w:tcMar>
              <w:top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1100" w:type="dxa"/>
            <w:tcBorders/>
            <w:tcMar>
              <w:top w:w="0" w:type="dxa"/>
              <w:left w:w="0" w:type="dxa"/>
            </w:tcMar>
            <w:vAlign w:val="bottom"/>
          </w:tcPr>
          <w:p>
            <w:pPr>
              <w:pStyle w:val="TableContents"/>
              <w:bidi w:val="0"/>
              <w:spacing w:before="0" w:after="0"/>
              <w:jc w:val="right"/>
              <w:rPr>
                <w:color w:val="000000"/>
              </w:rPr>
            </w:pPr>
            <w:r>
              <w:rPr>
                <w:color w:val="000000"/>
              </w:rPr>
              <w:t>—</w:t>
            </w:r>
          </w:p>
        </w:tc>
        <w:tc>
          <w:tcPr>
            <w:tcW w:w="60" w:type="dxa"/>
            <w:tcBorders/>
            <w:tcMar>
              <w:top w:w="0" w:type="dxa"/>
              <w:left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301" w:type="dxa"/>
            <w:tcBorders/>
            <w:tcMar>
              <w:top w:w="0" w:type="dxa"/>
              <w:left w:w="0" w:type="dxa"/>
            </w:tcMar>
            <w:vAlign w:val="bottom"/>
          </w:tcPr>
          <w:p>
            <w:pPr>
              <w:pStyle w:val="TableContents"/>
              <w:bidi w:val="0"/>
              <w:spacing w:before="0" w:after="283"/>
              <w:jc w:val="left"/>
              <w:rPr/>
            </w:pPr>
            <w:r>
              <w:rPr/>
              <w:t> </w:t>
            </w:r>
          </w:p>
        </w:tc>
        <w:tc>
          <w:tcPr>
            <w:tcW w:w="559" w:type="dxa"/>
            <w:tcBorders/>
            <w:tcMar>
              <w:top w:w="0" w:type="dxa"/>
              <w:left w:w="0" w:type="dxa"/>
            </w:tcMar>
            <w:vAlign w:val="bottom"/>
          </w:tcPr>
          <w:p>
            <w:pPr>
              <w:pStyle w:val="TableContents"/>
              <w:bidi w:val="0"/>
              <w:spacing w:before="0" w:after="0"/>
              <w:jc w:val="right"/>
              <w:rPr>
                <w:color w:val="000000"/>
              </w:rPr>
            </w:pPr>
            <w:r>
              <w:rPr>
                <w:color w:val="000000"/>
              </w:rPr>
              <w:t>—</w:t>
            </w:r>
          </w:p>
        </w:tc>
        <w:tc>
          <w:tcPr>
            <w:tcW w:w="95" w:type="dxa"/>
            <w:tcBorders/>
            <w:tcMar>
              <w:top w:w="0" w:type="dxa"/>
              <w:left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187" w:type="dxa"/>
            <w:tcBorders/>
            <w:tcMar>
              <w:top w:w="0" w:type="dxa"/>
              <w:left w:w="0" w:type="dxa"/>
            </w:tcMar>
            <w:vAlign w:val="bottom"/>
          </w:tcPr>
          <w:p>
            <w:pPr>
              <w:pStyle w:val="TableContents"/>
              <w:bidi w:val="0"/>
              <w:spacing w:before="0" w:after="283"/>
              <w:jc w:val="left"/>
              <w:rPr/>
            </w:pPr>
            <w:r>
              <w:rPr/>
              <w:t> </w:t>
            </w:r>
          </w:p>
        </w:tc>
        <w:tc>
          <w:tcPr>
            <w:tcW w:w="913" w:type="dxa"/>
            <w:tcBorders/>
            <w:tcMar>
              <w:top w:w="0" w:type="dxa"/>
              <w:left w:w="0" w:type="dxa"/>
            </w:tcMar>
            <w:vAlign w:val="bottom"/>
          </w:tcPr>
          <w:p>
            <w:pPr>
              <w:pStyle w:val="TableContents"/>
              <w:bidi w:val="0"/>
              <w:spacing w:before="0" w:after="0"/>
              <w:jc w:val="right"/>
              <w:rPr>
                <w:color w:val="000000"/>
              </w:rPr>
            </w:pPr>
            <w:r>
              <w:rPr>
                <w:color w:val="000000"/>
              </w:rPr>
              <w:t>—</w:t>
            </w:r>
          </w:p>
        </w:tc>
        <w:tc>
          <w:tcPr>
            <w:tcW w:w="95" w:type="dxa"/>
            <w:tcBorders/>
            <w:tcMar>
              <w:top w:w="0" w:type="dxa"/>
              <w:left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174" w:type="dxa"/>
            <w:tcBorders/>
            <w:tcMar>
              <w:top w:w="0" w:type="dxa"/>
              <w:left w:w="0" w:type="dxa"/>
            </w:tcMar>
            <w:vAlign w:val="bottom"/>
          </w:tcPr>
          <w:p>
            <w:pPr>
              <w:pStyle w:val="TableContents"/>
              <w:bidi w:val="0"/>
              <w:spacing w:before="0" w:after="283"/>
              <w:jc w:val="left"/>
              <w:rPr/>
            </w:pPr>
            <w:r>
              <w:rPr/>
              <w:t> </w:t>
            </w:r>
          </w:p>
        </w:tc>
        <w:tc>
          <w:tcPr>
            <w:tcW w:w="791" w:type="dxa"/>
            <w:tcBorders/>
            <w:tcMar>
              <w:top w:w="0" w:type="dxa"/>
              <w:left w:w="0" w:type="dxa"/>
            </w:tcMar>
            <w:vAlign w:val="bottom"/>
          </w:tcPr>
          <w:p>
            <w:pPr>
              <w:pStyle w:val="TableContents"/>
              <w:bidi w:val="0"/>
              <w:spacing w:before="0" w:after="0"/>
              <w:jc w:val="right"/>
              <w:rPr>
                <w:color w:val="000000"/>
              </w:rPr>
            </w:pPr>
            <w:r>
              <w:rPr>
                <w:color w:val="000000"/>
              </w:rPr>
              <w:t>—</w:t>
            </w:r>
          </w:p>
        </w:tc>
        <w:tc>
          <w:tcPr>
            <w:tcW w:w="95" w:type="dxa"/>
            <w:tcBorders/>
            <w:tcMar>
              <w:top w:w="0" w:type="dxa"/>
              <w:left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433" w:type="dxa"/>
            <w:tcBorders/>
            <w:tcMar>
              <w:top w:w="0" w:type="dxa"/>
              <w:left w:w="0" w:type="dxa"/>
            </w:tcMar>
            <w:vAlign w:val="bottom"/>
          </w:tcPr>
          <w:p>
            <w:pPr>
              <w:pStyle w:val="TableContents"/>
              <w:bidi w:val="0"/>
              <w:spacing w:before="0" w:after="283"/>
              <w:jc w:val="left"/>
              <w:rPr/>
            </w:pPr>
            <w:r>
              <w:rPr/>
              <w:t> </w:t>
            </w:r>
          </w:p>
        </w:tc>
        <w:tc>
          <w:tcPr>
            <w:tcW w:w="1177" w:type="dxa"/>
            <w:tcBorders/>
            <w:tcMar>
              <w:top w:w="0" w:type="dxa"/>
              <w:left w:w="0" w:type="dxa"/>
            </w:tcMar>
            <w:vAlign w:val="bottom"/>
          </w:tcPr>
          <w:p>
            <w:pPr>
              <w:pStyle w:val="TableContents"/>
              <w:bidi w:val="0"/>
              <w:spacing w:before="0" w:after="0"/>
              <w:jc w:val="right"/>
              <w:rPr>
                <w:color w:val="000000"/>
              </w:rPr>
            </w:pPr>
            <w:r>
              <w:rPr>
                <w:color w:val="000000"/>
              </w:rPr>
              <w:t>64</w:t>
            </w:r>
          </w:p>
        </w:tc>
        <w:tc>
          <w:tcPr>
            <w:tcW w:w="95" w:type="dxa"/>
            <w:tcBorders/>
            <w:tcMar>
              <w:top w:w="0" w:type="dxa"/>
              <w:left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160" w:type="dxa"/>
            <w:tcBorders/>
            <w:tcMar>
              <w:top w:w="0" w:type="dxa"/>
              <w:left w:w="0" w:type="dxa"/>
            </w:tcMar>
            <w:vAlign w:val="bottom"/>
          </w:tcPr>
          <w:p>
            <w:pPr>
              <w:pStyle w:val="TableContents"/>
              <w:bidi w:val="0"/>
              <w:spacing w:before="0" w:after="283"/>
              <w:jc w:val="left"/>
              <w:rPr/>
            </w:pPr>
            <w:r>
              <w:rPr/>
              <w:t> </w:t>
            </w:r>
          </w:p>
        </w:tc>
        <w:tc>
          <w:tcPr>
            <w:tcW w:w="1210" w:type="dxa"/>
            <w:tcBorders/>
            <w:tcMar>
              <w:top w:w="0" w:type="dxa"/>
              <w:left w:w="0" w:type="dxa"/>
            </w:tcMar>
            <w:vAlign w:val="bottom"/>
          </w:tcPr>
          <w:p>
            <w:pPr>
              <w:pStyle w:val="TableContents"/>
              <w:bidi w:val="0"/>
              <w:spacing w:before="0" w:after="0"/>
              <w:jc w:val="right"/>
              <w:rPr>
                <w:color w:val="000000"/>
              </w:rPr>
            </w:pPr>
            <w:r>
              <w:rPr>
                <w:color w:val="000000"/>
              </w:rPr>
              <w:t>—</w:t>
            </w:r>
          </w:p>
        </w:tc>
        <w:tc>
          <w:tcPr>
            <w:tcW w:w="95" w:type="dxa"/>
            <w:tcBorders/>
            <w:tcMar>
              <w:top w:w="0" w:type="dxa"/>
              <w:left w:w="0" w:type="dxa"/>
            </w:tcMar>
            <w:vAlign w:val="bottom"/>
          </w:tcPr>
          <w:p>
            <w:pPr>
              <w:pStyle w:val="TableContents"/>
              <w:bidi w:val="0"/>
              <w:spacing w:before="0" w:after="283"/>
              <w:jc w:val="left"/>
              <w:rPr/>
            </w:pPr>
            <w:r>
              <w:rPr/>
              <w:t> </w:t>
            </w:r>
          </w:p>
        </w:tc>
        <w:tc>
          <w:tcPr>
            <w:tcW w:w="60" w:type="dxa"/>
            <w:tcBorders/>
            <w:tcMar>
              <w:top w:w="0" w:type="dxa"/>
              <w:left w:w="0" w:type="dxa"/>
            </w:tcMar>
            <w:vAlign w:val="bottom"/>
          </w:tcPr>
          <w:p>
            <w:pPr>
              <w:pStyle w:val="TableContents"/>
              <w:bidi w:val="0"/>
              <w:spacing w:before="0" w:after="283"/>
              <w:jc w:val="left"/>
              <w:rPr/>
            </w:pPr>
            <w:r>
              <w:rPr/>
              <w:t> </w:t>
            </w:r>
          </w:p>
        </w:tc>
        <w:tc>
          <w:tcPr>
            <w:tcW w:w="156" w:type="dxa"/>
            <w:tcBorders/>
            <w:tcMar>
              <w:top w:w="0" w:type="dxa"/>
              <w:left w:w="0" w:type="dxa"/>
            </w:tcMar>
            <w:vAlign w:val="bottom"/>
          </w:tcPr>
          <w:p>
            <w:pPr>
              <w:pStyle w:val="TableContents"/>
              <w:bidi w:val="0"/>
              <w:spacing w:before="0" w:after="283"/>
              <w:jc w:val="left"/>
              <w:rPr/>
            </w:pPr>
            <w:r>
              <w:rPr/>
              <w:t> </w:t>
            </w:r>
          </w:p>
        </w:tc>
        <w:tc>
          <w:tcPr>
            <w:tcW w:w="1184" w:type="dxa"/>
            <w:tcBorders/>
            <w:tcMar>
              <w:top w:w="0" w:type="dxa"/>
              <w:left w:w="0" w:type="dxa"/>
            </w:tcMar>
            <w:vAlign w:val="bottom"/>
          </w:tcPr>
          <w:p>
            <w:pPr>
              <w:pStyle w:val="TableContents"/>
              <w:bidi w:val="0"/>
              <w:spacing w:before="0" w:after="0"/>
              <w:jc w:val="right"/>
              <w:rPr>
                <w:color w:val="000000"/>
              </w:rPr>
            </w:pPr>
            <w:r>
              <w:rPr>
                <w:color w:val="000000"/>
              </w:rPr>
              <w:t>64</w:t>
            </w:r>
          </w:p>
        </w:tc>
        <w:tc>
          <w:tcPr>
            <w:tcW w:w="95" w:type="dxa"/>
            <w:tcBorders>
              <w:right w:val="single" w:sz="12" w:space="0" w:color="000000"/>
            </w:tcBorders>
            <w:tcMar>
              <w:top w:w="0" w:type="dxa"/>
              <w:left w:w="0" w:type="dxa"/>
              <w:right w:w="28" w:type="dxa"/>
            </w:tcMar>
            <w:vAlign w:val="bottom"/>
          </w:tcPr>
          <w:p>
            <w:pPr>
              <w:pStyle w:val="TableContents"/>
              <w:bidi w:val="0"/>
              <w:spacing w:before="0" w:after="283"/>
              <w:jc w:val="left"/>
              <w:rPr/>
            </w:pPr>
            <w:r>
              <w:rPr/>
              <w:t> </w:t>
            </w:r>
          </w:p>
        </w:tc>
      </w:tr>
      <w:tr>
        <w:trPr/>
        <w:tc>
          <w:tcPr>
            <w:tcW w:w="4655" w:type="dxa"/>
            <w:tcBorders>
              <w:left w:val="single" w:sz="12" w:space="0" w:color="000000"/>
            </w:tcBorders>
            <w:shd w:fill="CCEEFF" w:val="clear"/>
            <w:tcMar>
              <w:top w:w="0" w:type="dxa"/>
            </w:tcMar>
            <w:vAlign w:val="bottom"/>
          </w:tcPr>
          <w:p>
            <w:pPr>
              <w:pStyle w:val="TableContents"/>
              <w:bidi w:val="0"/>
              <w:spacing w:before="0" w:after="0"/>
              <w:ind w:left="144" w:right="0" w:hanging="144"/>
              <w:jc w:val="left"/>
              <w:rPr>
                <w:color w:val="000000"/>
              </w:rPr>
            </w:pPr>
            <w:r>
              <w:rPr>
                <w:color w:val="000000"/>
              </w:rPr>
              <w:t>Net loss</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top w:w="0" w:type="dxa"/>
              <w:left w:w="0" w:type="dxa"/>
              <w:bottom w:w="28" w:type="dxa"/>
            </w:tcMar>
            <w:vAlign w:val="bottom"/>
          </w:tcPr>
          <w:p>
            <w:pPr>
              <w:pStyle w:val="TableContents"/>
              <w:bidi w:val="0"/>
              <w:spacing w:before="0" w:after="283"/>
              <w:jc w:val="left"/>
              <w:rPr/>
            </w:pPr>
            <w:r>
              <w:rPr/>
              <w:t> </w:t>
            </w:r>
          </w:p>
        </w:tc>
        <w:tc>
          <w:tcPr>
            <w:tcW w:w="1220" w:type="dxa"/>
            <w:tcBorders>
              <w:bottom w:val="single" w:sz="12" w:space="0" w:color="000000"/>
            </w:tcBorders>
            <w:shd w:fill="CCEEFF" w:val="clear"/>
            <w:tcMar>
              <w:top w:w="0" w:type="dxa"/>
              <w:left w:w="0" w:type="dxa"/>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top w:w="0" w:type="dxa"/>
              <w:left w:w="0" w:type="dxa"/>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top w:w="0" w:type="dxa"/>
              <w:left w:w="0" w:type="dxa"/>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left w:val="single" w:sz="12" w:space="0" w:color="000000"/>
            </w:tcBorders>
            <w:shd w:fill="CCEEFF" w:val="clear"/>
            <w:tcMar>
              <w:top w:w="0"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top w:w="0" w:type="dxa"/>
              <w:left w:w="0" w:type="dxa"/>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top w:w="0" w:type="dxa"/>
              <w:left w:w="0" w:type="dxa"/>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301" w:type="dxa"/>
            <w:tcBorders>
              <w:bottom w:val="single" w:sz="12" w:space="0" w:color="000000"/>
            </w:tcBorders>
            <w:shd w:fill="CCEEFF" w:val="clear"/>
            <w:tcMar>
              <w:top w:w="0" w:type="dxa"/>
              <w:left w:w="0" w:type="dxa"/>
              <w:bottom w:w="28" w:type="dxa"/>
            </w:tcMar>
            <w:vAlign w:val="bottom"/>
          </w:tcPr>
          <w:p>
            <w:pPr>
              <w:pStyle w:val="TableContents"/>
              <w:bidi w:val="0"/>
              <w:spacing w:before="0" w:after="283"/>
              <w:jc w:val="left"/>
              <w:rPr/>
            </w:pPr>
            <w:r>
              <w:rPr/>
              <w:t> </w:t>
            </w:r>
          </w:p>
        </w:tc>
        <w:tc>
          <w:tcPr>
            <w:tcW w:w="559" w:type="dxa"/>
            <w:tcBorders>
              <w:bottom w:val="single" w:sz="12" w:space="0" w:color="000000"/>
            </w:tcBorders>
            <w:shd w:fill="CCEEFF" w:val="clear"/>
            <w:tcMar>
              <w:top w:w="0" w:type="dxa"/>
              <w:left w:w="0" w:type="dxa"/>
              <w:bottom w:w="28" w:type="dxa"/>
            </w:tcMar>
            <w:vAlign w:val="bottom"/>
          </w:tcPr>
          <w:p>
            <w:pPr>
              <w:pStyle w:val="TableContents"/>
              <w:bidi w:val="0"/>
              <w:spacing w:before="0" w:after="0"/>
              <w:jc w:val="right"/>
              <w:rPr>
                <w:color w:val="000000"/>
              </w:rPr>
            </w:pPr>
            <w:r>
              <w:rPr>
                <w:color w:val="000000"/>
              </w:rPr>
              <w:t>—</w:t>
            </w:r>
          </w:p>
        </w:tc>
        <w:tc>
          <w:tcPr>
            <w:tcW w:w="95"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187" w:type="dxa"/>
            <w:tcBorders>
              <w:bottom w:val="single" w:sz="12" w:space="0" w:color="000000"/>
            </w:tcBorders>
            <w:shd w:fill="CCEEFF" w:val="clear"/>
            <w:tcMar>
              <w:top w:w="0" w:type="dxa"/>
              <w:left w:w="0" w:type="dxa"/>
              <w:bottom w:w="28" w:type="dxa"/>
            </w:tcMar>
            <w:vAlign w:val="bottom"/>
          </w:tcPr>
          <w:p>
            <w:pPr>
              <w:pStyle w:val="TableContents"/>
              <w:bidi w:val="0"/>
              <w:spacing w:before="0" w:after="283"/>
              <w:jc w:val="left"/>
              <w:rPr/>
            </w:pPr>
            <w:r>
              <w:rPr/>
              <w:t> </w:t>
            </w:r>
          </w:p>
        </w:tc>
        <w:tc>
          <w:tcPr>
            <w:tcW w:w="913" w:type="dxa"/>
            <w:tcBorders>
              <w:bottom w:val="single" w:sz="12" w:space="0" w:color="000000"/>
            </w:tcBorders>
            <w:shd w:fill="CCEEFF" w:val="clear"/>
            <w:tcMar>
              <w:top w:w="0" w:type="dxa"/>
              <w:left w:w="0" w:type="dxa"/>
              <w:bottom w:w="28" w:type="dxa"/>
            </w:tcMar>
            <w:vAlign w:val="bottom"/>
          </w:tcPr>
          <w:p>
            <w:pPr>
              <w:pStyle w:val="TableContents"/>
              <w:bidi w:val="0"/>
              <w:spacing w:before="0" w:after="0"/>
              <w:jc w:val="right"/>
              <w:rPr>
                <w:color w:val="000000"/>
              </w:rPr>
            </w:pPr>
            <w:r>
              <w:rPr>
                <w:color w:val="000000"/>
              </w:rPr>
              <w:t>—</w:t>
            </w:r>
          </w:p>
        </w:tc>
        <w:tc>
          <w:tcPr>
            <w:tcW w:w="95"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174" w:type="dxa"/>
            <w:tcBorders>
              <w:bottom w:val="single" w:sz="12" w:space="0" w:color="000000"/>
            </w:tcBorders>
            <w:shd w:fill="CCEEFF" w:val="clear"/>
            <w:tcMar>
              <w:top w:w="0" w:type="dxa"/>
              <w:left w:w="0" w:type="dxa"/>
              <w:bottom w:w="28" w:type="dxa"/>
            </w:tcMar>
            <w:vAlign w:val="bottom"/>
          </w:tcPr>
          <w:p>
            <w:pPr>
              <w:pStyle w:val="TableContents"/>
              <w:bidi w:val="0"/>
              <w:spacing w:before="0" w:after="283"/>
              <w:jc w:val="left"/>
              <w:rPr/>
            </w:pPr>
            <w:r>
              <w:rPr/>
              <w:t> </w:t>
            </w:r>
          </w:p>
        </w:tc>
        <w:tc>
          <w:tcPr>
            <w:tcW w:w="791" w:type="dxa"/>
            <w:tcBorders>
              <w:bottom w:val="single" w:sz="12" w:space="0" w:color="000000"/>
            </w:tcBorders>
            <w:shd w:fill="CCEEFF" w:val="clear"/>
            <w:tcMar>
              <w:top w:w="0" w:type="dxa"/>
              <w:left w:w="0" w:type="dxa"/>
              <w:bottom w:w="28" w:type="dxa"/>
            </w:tcMar>
            <w:vAlign w:val="bottom"/>
          </w:tcPr>
          <w:p>
            <w:pPr>
              <w:pStyle w:val="TableContents"/>
              <w:bidi w:val="0"/>
              <w:spacing w:before="0" w:after="0"/>
              <w:jc w:val="right"/>
              <w:rPr>
                <w:color w:val="000000"/>
              </w:rPr>
            </w:pPr>
            <w:r>
              <w:rPr>
                <w:color w:val="000000"/>
              </w:rPr>
              <w:t>—</w:t>
            </w:r>
          </w:p>
        </w:tc>
        <w:tc>
          <w:tcPr>
            <w:tcW w:w="95"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433" w:type="dxa"/>
            <w:tcBorders>
              <w:bottom w:val="single" w:sz="12" w:space="0" w:color="000000"/>
            </w:tcBorders>
            <w:shd w:fill="CCEEFF" w:val="clear"/>
            <w:tcMar>
              <w:top w:w="0" w:type="dxa"/>
              <w:left w:w="0" w:type="dxa"/>
              <w:bottom w:w="28" w:type="dxa"/>
            </w:tcMar>
            <w:vAlign w:val="bottom"/>
          </w:tcPr>
          <w:p>
            <w:pPr>
              <w:pStyle w:val="TableContents"/>
              <w:bidi w:val="0"/>
              <w:spacing w:before="0" w:after="283"/>
              <w:jc w:val="left"/>
              <w:rPr/>
            </w:pPr>
            <w:r>
              <w:rPr/>
              <w:t> </w:t>
            </w:r>
          </w:p>
        </w:tc>
        <w:tc>
          <w:tcPr>
            <w:tcW w:w="1177" w:type="dxa"/>
            <w:tcBorders>
              <w:bottom w:val="single" w:sz="12" w:space="0" w:color="000000"/>
            </w:tcBorders>
            <w:shd w:fill="CCEEFF" w:val="clear"/>
            <w:tcMar>
              <w:top w:w="0" w:type="dxa"/>
              <w:left w:w="0" w:type="dxa"/>
              <w:bottom w:w="28" w:type="dxa"/>
            </w:tcMar>
            <w:vAlign w:val="bottom"/>
          </w:tcPr>
          <w:p>
            <w:pPr>
              <w:pStyle w:val="TableContents"/>
              <w:bidi w:val="0"/>
              <w:spacing w:before="0" w:after="0"/>
              <w:jc w:val="right"/>
              <w:rPr>
                <w:color w:val="000000"/>
              </w:rPr>
            </w:pPr>
            <w:r>
              <w:rPr>
                <w:color w:val="000000"/>
              </w:rPr>
              <w:t>—</w:t>
            </w:r>
          </w:p>
        </w:tc>
        <w:tc>
          <w:tcPr>
            <w:tcW w:w="95" w:type="dxa"/>
            <w:tcBorders/>
            <w:shd w:fill="CCEEFF" w:val="clear"/>
            <w:tcMar>
              <w:top w:w="0" w:type="dxa"/>
              <w:left w:w="0" w:type="dxa"/>
            </w:tcMar>
            <w:vAlign w:val="bottom"/>
          </w:tcPr>
          <w:p>
            <w:pPr>
              <w:pStyle w:val="TableContents"/>
              <w:bidi w:val="0"/>
              <w:spacing w:before="0" w:after="283"/>
              <w:jc w:val="left"/>
              <w:rPr/>
            </w:pPr>
            <w:r>
              <w:rPr/>
              <w:t> </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160" w:type="dxa"/>
            <w:tcBorders>
              <w:bottom w:val="single" w:sz="12" w:space="0" w:color="000000"/>
            </w:tcBorders>
            <w:shd w:fill="CCEEFF" w:val="clear"/>
            <w:tcMar>
              <w:top w:w="0" w:type="dxa"/>
              <w:left w:w="0" w:type="dxa"/>
              <w:bottom w:w="28" w:type="dxa"/>
            </w:tcMar>
            <w:vAlign w:val="bottom"/>
          </w:tcPr>
          <w:p>
            <w:pPr>
              <w:pStyle w:val="TableContents"/>
              <w:bidi w:val="0"/>
              <w:spacing w:before="0" w:after="283"/>
              <w:jc w:val="left"/>
              <w:rPr/>
            </w:pPr>
            <w:r>
              <w:rPr/>
              <w:t> </w:t>
            </w:r>
          </w:p>
        </w:tc>
        <w:tc>
          <w:tcPr>
            <w:tcW w:w="1210" w:type="dxa"/>
            <w:tcBorders>
              <w:bottom w:val="single" w:sz="12" w:space="0" w:color="000000"/>
            </w:tcBorders>
            <w:shd w:fill="CCEEFF" w:val="clear"/>
            <w:tcMar>
              <w:top w:w="0" w:type="dxa"/>
              <w:left w:w="0" w:type="dxa"/>
              <w:bottom w:w="28" w:type="dxa"/>
            </w:tcMar>
            <w:vAlign w:val="bottom"/>
          </w:tcPr>
          <w:p>
            <w:pPr>
              <w:pStyle w:val="TableContents"/>
              <w:bidi w:val="0"/>
              <w:spacing w:before="0" w:after="0"/>
              <w:jc w:val="right"/>
              <w:rPr>
                <w:color w:val="000000"/>
              </w:rPr>
            </w:pPr>
            <w:r>
              <w:rPr>
                <w:color w:val="000000"/>
              </w:rPr>
              <w:t>(116,605</w:t>
            </w:r>
          </w:p>
        </w:tc>
        <w:tc>
          <w:tcPr>
            <w:tcW w:w="95" w:type="dxa"/>
            <w:tcBorders/>
            <w:shd w:fill="CCEEFF" w:val="clear"/>
            <w:tcMar>
              <w:top w:w="0" w:type="dxa"/>
              <w:left w:w="0" w:type="dxa"/>
            </w:tcMar>
            <w:vAlign w:val="bottom"/>
          </w:tcPr>
          <w:p>
            <w:pPr>
              <w:pStyle w:val="TableContents"/>
              <w:bidi w:val="0"/>
              <w:spacing w:before="0" w:after="0"/>
              <w:jc w:val="left"/>
              <w:rPr>
                <w:color w:val="000000"/>
              </w:rPr>
            </w:pPr>
            <w:r>
              <w:rPr>
                <w:color w:val="000000"/>
              </w:rPr>
              <w:t>)</w:t>
            </w:r>
          </w:p>
        </w:tc>
        <w:tc>
          <w:tcPr>
            <w:tcW w:w="60" w:type="dxa"/>
            <w:tcBorders/>
            <w:shd w:fill="CCEEFF" w:val="clear"/>
            <w:tcMar>
              <w:top w:w="0" w:type="dxa"/>
              <w:left w:w="0" w:type="dxa"/>
            </w:tcMar>
            <w:vAlign w:val="bottom"/>
          </w:tcPr>
          <w:p>
            <w:pPr>
              <w:pStyle w:val="TableContents"/>
              <w:bidi w:val="0"/>
              <w:spacing w:before="0" w:after="283"/>
              <w:jc w:val="left"/>
              <w:rPr/>
            </w:pPr>
            <w:r>
              <w:rPr/>
              <w:t> </w:t>
            </w:r>
          </w:p>
        </w:tc>
        <w:tc>
          <w:tcPr>
            <w:tcW w:w="156" w:type="dxa"/>
            <w:tcBorders>
              <w:bottom w:val="single" w:sz="12" w:space="0" w:color="000000"/>
            </w:tcBorders>
            <w:shd w:fill="CCEEFF" w:val="clear"/>
            <w:tcMar>
              <w:top w:w="0" w:type="dxa"/>
              <w:left w:w="0" w:type="dxa"/>
              <w:bottom w:w="28" w:type="dxa"/>
            </w:tcMar>
            <w:vAlign w:val="bottom"/>
          </w:tcPr>
          <w:p>
            <w:pPr>
              <w:pStyle w:val="TableContents"/>
              <w:bidi w:val="0"/>
              <w:spacing w:before="0" w:after="283"/>
              <w:jc w:val="left"/>
              <w:rPr/>
            </w:pPr>
            <w:r>
              <w:rPr/>
              <w:t> </w:t>
            </w:r>
          </w:p>
        </w:tc>
        <w:tc>
          <w:tcPr>
            <w:tcW w:w="1184" w:type="dxa"/>
            <w:tcBorders>
              <w:bottom w:val="single" w:sz="12" w:space="0" w:color="000000"/>
            </w:tcBorders>
            <w:shd w:fill="CCEEFF" w:val="clear"/>
            <w:tcMar>
              <w:top w:w="0" w:type="dxa"/>
              <w:left w:w="0" w:type="dxa"/>
              <w:bottom w:w="28" w:type="dxa"/>
            </w:tcMar>
            <w:vAlign w:val="bottom"/>
          </w:tcPr>
          <w:p>
            <w:pPr>
              <w:pStyle w:val="TableContents"/>
              <w:bidi w:val="0"/>
              <w:spacing w:before="0" w:after="0"/>
              <w:jc w:val="right"/>
              <w:rPr>
                <w:color w:val="000000"/>
              </w:rPr>
            </w:pPr>
            <w:r>
              <w:rPr>
                <w:color w:val="000000"/>
              </w:rPr>
              <w:t>(116,605</w:t>
            </w:r>
          </w:p>
        </w:tc>
        <w:tc>
          <w:tcPr>
            <w:tcW w:w="95" w:type="dxa"/>
            <w:tcBorders>
              <w:right w:val="single" w:sz="12" w:space="0" w:color="000000"/>
            </w:tcBorders>
            <w:shd w:fill="CCEEFF" w:val="clear"/>
            <w:tcMar>
              <w:top w:w="0" w:type="dxa"/>
              <w:left w:w="0" w:type="dxa"/>
              <w:right w:w="28" w:type="dxa"/>
            </w:tcMar>
            <w:vAlign w:val="bottom"/>
          </w:tcPr>
          <w:p>
            <w:pPr>
              <w:pStyle w:val="TableContents"/>
              <w:bidi w:val="0"/>
              <w:spacing w:before="0" w:after="0"/>
              <w:jc w:val="left"/>
              <w:rPr>
                <w:color w:val="000000"/>
              </w:rPr>
            </w:pPr>
            <w:r>
              <w:rPr>
                <w:color w:val="000000"/>
              </w:rPr>
              <w:t>)</w:t>
            </w:r>
          </w:p>
        </w:tc>
      </w:tr>
      <w:tr>
        <w:trPr/>
        <w:tc>
          <w:tcPr>
            <w:tcW w:w="4655" w:type="dxa"/>
            <w:tcBorders>
              <w:left w:val="single" w:sz="12" w:space="0" w:color="000000"/>
              <w:bottom w:val="double" w:sz="8" w:space="0" w:color="000000"/>
            </w:tcBorders>
            <w:tcMar>
              <w:top w:w="0" w:type="dxa"/>
              <w:bottom w:w="28" w:type="dxa"/>
            </w:tcMar>
            <w:vAlign w:val="bottom"/>
          </w:tcPr>
          <w:p>
            <w:pPr>
              <w:pStyle w:val="TableContents"/>
              <w:bidi w:val="0"/>
              <w:spacing w:before="0" w:after="0"/>
              <w:ind w:left="144" w:right="0" w:hanging="144"/>
              <w:jc w:val="left"/>
              <w:rPr>
                <w:b/>
                <w:color w:val="000000"/>
              </w:rPr>
            </w:pPr>
            <w:r>
              <w:rPr>
                <w:b/>
                <w:color w:val="000000"/>
              </w:rPr>
              <w:t>Balance as of June 30, 2025</w:t>
            </w:r>
          </w:p>
        </w:tc>
        <w:tc>
          <w:tcPr>
            <w:tcW w:w="60" w:type="dxa"/>
            <w:tcBorders>
              <w:bottom w:val="double" w:sz="8" w:space="0" w:color="000000"/>
            </w:tcBorders>
            <w:tcMar>
              <w:top w:w="0" w:type="dxa"/>
              <w:left w:w="0" w:type="dxa"/>
              <w:bottom w:w="28" w:type="dxa"/>
            </w:tcMar>
            <w:vAlign w:val="bottom"/>
          </w:tcPr>
          <w:p>
            <w:pPr>
              <w:pStyle w:val="TableContents"/>
              <w:bidi w:val="0"/>
              <w:spacing w:before="0" w:after="283"/>
              <w:jc w:val="left"/>
              <w:rPr/>
            </w:pPr>
            <w:r>
              <w:rPr/>
              <w:t> </w:t>
            </w:r>
          </w:p>
        </w:tc>
        <w:tc>
          <w:tcPr>
            <w:tcW w:w="60" w:type="dxa"/>
            <w:tcBorders>
              <w:bottom w:val="double" w:sz="8" w:space="0" w:color="000000"/>
            </w:tcBorders>
            <w:tcMar>
              <w:top w:w="0" w:type="dxa"/>
              <w:left w:w="0" w:type="dxa"/>
              <w:bottom w:w="28" w:type="dxa"/>
            </w:tcMar>
            <w:vAlign w:val="bottom"/>
          </w:tcPr>
          <w:p>
            <w:pPr>
              <w:pStyle w:val="TableContents"/>
              <w:bidi w:val="0"/>
              <w:spacing w:before="0" w:after="283"/>
              <w:jc w:val="left"/>
              <w:rPr/>
            </w:pPr>
            <w:r>
              <w:rPr/>
              <w:t> </w:t>
            </w:r>
          </w:p>
        </w:tc>
        <w:tc>
          <w:tcPr>
            <w:tcW w:w="1220" w:type="dxa"/>
            <w:tcBorders>
              <w:bottom w:val="double" w:sz="8" w:space="0" w:color="000000"/>
            </w:tcBorders>
            <w:tcMar>
              <w:top w:w="0" w:type="dxa"/>
              <w:left w:w="0" w:type="dxa"/>
              <w:bottom w:w="28" w:type="dxa"/>
            </w:tcMar>
            <w:vAlign w:val="bottom"/>
          </w:tcPr>
          <w:p>
            <w:pPr>
              <w:pStyle w:val="TableContents"/>
              <w:bidi w:val="0"/>
              <w:spacing w:before="0" w:after="0"/>
              <w:jc w:val="right"/>
              <w:rPr>
                <w:color w:val="000000"/>
              </w:rPr>
            </w:pPr>
            <w:r>
              <w:rPr>
                <w:color w:val="000000"/>
              </w:rPr>
              <w:t>212,541,832</w:t>
            </w:r>
          </w:p>
        </w:tc>
        <w:tc>
          <w:tcPr>
            <w:tcW w:w="60" w:type="dxa"/>
            <w:tcBorders>
              <w:bottom w:val="double" w:sz="8" w:space="0" w:color="000000"/>
            </w:tcBorders>
            <w:tcMar>
              <w:top w:w="0" w:type="dxa"/>
              <w:left w:w="0" w:type="dxa"/>
              <w:bottom w:w="28" w:type="dxa"/>
            </w:tcMar>
            <w:vAlign w:val="bottom"/>
          </w:tcPr>
          <w:p>
            <w:pPr>
              <w:pStyle w:val="TableContents"/>
              <w:bidi w:val="0"/>
              <w:spacing w:before="0" w:after="283"/>
              <w:jc w:val="left"/>
              <w:rPr/>
            </w:pPr>
            <w:r>
              <w:rPr/>
              <w:t> </w:t>
            </w:r>
          </w:p>
        </w:tc>
        <w:tc>
          <w:tcPr>
            <w:tcW w:w="60" w:type="dxa"/>
            <w:tcBorders>
              <w:bottom w:val="double" w:sz="8" w:space="0" w:color="000000"/>
            </w:tcBorders>
            <w:tcMar>
              <w:top w:w="0" w:type="dxa"/>
              <w:left w:w="0" w:type="dxa"/>
              <w:bottom w:w="28" w:type="dxa"/>
            </w:tcMar>
            <w:vAlign w:val="bottom"/>
          </w:tcPr>
          <w:p>
            <w:pPr>
              <w:pStyle w:val="TableContents"/>
              <w:bidi w:val="0"/>
              <w:spacing w:before="0" w:after="283"/>
              <w:jc w:val="left"/>
              <w:rPr/>
            </w:pPr>
            <w:r>
              <w:rPr/>
              <w:t> </w:t>
            </w:r>
          </w:p>
        </w:tc>
        <w:tc>
          <w:tcPr>
            <w:tcW w:w="140" w:type="dxa"/>
            <w:tcBorders>
              <w:bottom w:val="double" w:sz="8" w:space="0" w:color="000000"/>
            </w:tcBorders>
            <w:tcMar>
              <w:top w:w="0" w:type="dxa"/>
              <w:left w:w="0" w:type="dxa"/>
              <w:bottom w:w="28" w:type="dxa"/>
            </w:tcMar>
            <w:vAlign w:val="bottom"/>
          </w:tcPr>
          <w:p>
            <w:pPr>
              <w:pStyle w:val="TableContents"/>
              <w:bidi w:val="0"/>
              <w:spacing w:before="0" w:after="0"/>
              <w:jc w:val="left"/>
              <w:rPr>
                <w:color w:val="000000"/>
              </w:rPr>
            </w:pPr>
            <w:r>
              <w:rPr>
                <w:color w:val="000000"/>
              </w:rPr>
              <w:t>$</w:t>
            </w:r>
          </w:p>
        </w:tc>
        <w:tc>
          <w:tcPr>
            <w:tcW w:w="980" w:type="dxa"/>
            <w:tcBorders>
              <w:bottom w:val="double" w:sz="8" w:space="0" w:color="000000"/>
            </w:tcBorders>
            <w:tcMar>
              <w:top w:w="0" w:type="dxa"/>
              <w:left w:w="0" w:type="dxa"/>
              <w:bottom w:w="28" w:type="dxa"/>
            </w:tcMar>
            <w:vAlign w:val="bottom"/>
          </w:tcPr>
          <w:p>
            <w:pPr>
              <w:pStyle w:val="TableContents"/>
              <w:bidi w:val="0"/>
              <w:spacing w:before="0" w:after="0"/>
              <w:jc w:val="right"/>
              <w:rPr>
                <w:color w:val="000000"/>
              </w:rPr>
            </w:pPr>
            <w:r>
              <w:rPr>
                <w:color w:val="000000"/>
              </w:rPr>
              <w:t>1,363,580</w:t>
            </w:r>
          </w:p>
        </w:tc>
        <w:tc>
          <w:tcPr>
            <w:tcW w:w="60" w:type="dxa"/>
            <w:tcBorders>
              <w:bottom w:val="double" w:sz="8" w:space="0" w:color="000000"/>
            </w:tcBorders>
            <w:tcMar>
              <w:top w:w="0" w:type="dxa"/>
              <w:left w:w="0" w:type="dxa"/>
              <w:bottom w:w="28" w:type="dxa"/>
            </w:tcMar>
            <w:vAlign w:val="bottom"/>
          </w:tcPr>
          <w:p>
            <w:pPr>
              <w:pStyle w:val="TableContents"/>
              <w:bidi w:val="0"/>
              <w:spacing w:before="0" w:after="283"/>
              <w:jc w:val="left"/>
              <w:rPr/>
            </w:pPr>
            <w:r>
              <w:rPr/>
              <w:t> </w:t>
            </w:r>
          </w:p>
        </w:tc>
        <w:tc>
          <w:tcPr>
            <w:tcW w:w="60" w:type="dxa"/>
            <w:tcBorders>
              <w:left w:val="single" w:sz="12" w:space="0" w:color="000000"/>
              <w:bottom w:val="double" w:sz="8" w:space="0" w:color="000000"/>
            </w:tcBorders>
            <w:tcMar>
              <w:top w:w="0" w:type="dxa"/>
              <w:bottom w:w="28" w:type="dxa"/>
            </w:tcMar>
            <w:vAlign w:val="bottom"/>
          </w:tcPr>
          <w:p>
            <w:pPr>
              <w:pStyle w:val="TableContents"/>
              <w:bidi w:val="0"/>
              <w:spacing w:before="0" w:after="283"/>
              <w:jc w:val="left"/>
              <w:rPr/>
            </w:pPr>
            <w:r>
              <w:rPr/>
              <w:t> </w:t>
            </w:r>
          </w:p>
        </w:tc>
        <w:tc>
          <w:tcPr>
            <w:tcW w:w="60" w:type="dxa"/>
            <w:tcBorders>
              <w:bottom w:val="double" w:sz="8" w:space="0" w:color="000000"/>
            </w:tcBorders>
            <w:tcMar>
              <w:top w:w="0" w:type="dxa"/>
              <w:left w:w="0" w:type="dxa"/>
              <w:bottom w:w="28" w:type="dxa"/>
            </w:tcMar>
            <w:vAlign w:val="bottom"/>
          </w:tcPr>
          <w:p>
            <w:pPr>
              <w:pStyle w:val="TableContents"/>
              <w:bidi w:val="0"/>
              <w:spacing w:before="0" w:after="283"/>
              <w:jc w:val="left"/>
              <w:rPr/>
            </w:pPr>
            <w:r>
              <w:rPr/>
              <w:t> </w:t>
            </w:r>
          </w:p>
        </w:tc>
        <w:tc>
          <w:tcPr>
            <w:tcW w:w="1100" w:type="dxa"/>
            <w:tcBorders>
              <w:bottom w:val="double" w:sz="8" w:space="0" w:color="000000"/>
            </w:tcBorders>
            <w:tcMar>
              <w:top w:w="0" w:type="dxa"/>
              <w:left w:w="0" w:type="dxa"/>
              <w:bottom w:w="28" w:type="dxa"/>
            </w:tcMar>
            <w:vAlign w:val="bottom"/>
          </w:tcPr>
          <w:p>
            <w:pPr>
              <w:pStyle w:val="TableContents"/>
              <w:bidi w:val="0"/>
              <w:spacing w:before="0" w:after="0"/>
              <w:jc w:val="right"/>
              <w:rPr>
                <w:color w:val="000000"/>
              </w:rPr>
            </w:pPr>
            <w:r>
              <w:rPr>
                <w:color w:val="000000"/>
              </w:rPr>
              <w:t>26,041,560</w:t>
            </w:r>
          </w:p>
        </w:tc>
        <w:tc>
          <w:tcPr>
            <w:tcW w:w="60" w:type="dxa"/>
            <w:tcBorders>
              <w:bottom w:val="double" w:sz="8" w:space="0" w:color="000000"/>
            </w:tcBorders>
            <w:tcMar>
              <w:top w:w="0" w:type="dxa"/>
              <w:left w:w="0" w:type="dxa"/>
              <w:bottom w:w="28" w:type="dxa"/>
            </w:tcMar>
            <w:vAlign w:val="bottom"/>
          </w:tcPr>
          <w:p>
            <w:pPr>
              <w:pStyle w:val="TableContents"/>
              <w:bidi w:val="0"/>
              <w:spacing w:before="0" w:after="283"/>
              <w:jc w:val="left"/>
              <w:rPr/>
            </w:pPr>
            <w:r>
              <w:rPr/>
              <w:t> </w:t>
            </w:r>
          </w:p>
        </w:tc>
        <w:tc>
          <w:tcPr>
            <w:tcW w:w="60" w:type="dxa"/>
            <w:tcBorders>
              <w:bottom w:val="double" w:sz="8" w:space="0" w:color="000000"/>
            </w:tcBorders>
            <w:tcMar>
              <w:top w:w="0" w:type="dxa"/>
              <w:left w:w="0" w:type="dxa"/>
              <w:bottom w:w="28" w:type="dxa"/>
            </w:tcMar>
            <w:vAlign w:val="bottom"/>
          </w:tcPr>
          <w:p>
            <w:pPr>
              <w:pStyle w:val="TableContents"/>
              <w:bidi w:val="0"/>
              <w:spacing w:before="0" w:after="283"/>
              <w:jc w:val="left"/>
              <w:rPr/>
            </w:pPr>
            <w:r>
              <w:rPr/>
              <w:t> </w:t>
            </w:r>
          </w:p>
        </w:tc>
        <w:tc>
          <w:tcPr>
            <w:tcW w:w="301" w:type="dxa"/>
            <w:tcBorders>
              <w:bottom w:val="double" w:sz="8" w:space="0" w:color="000000"/>
            </w:tcBorders>
            <w:tcMar>
              <w:top w:w="0" w:type="dxa"/>
              <w:left w:w="0" w:type="dxa"/>
              <w:bottom w:w="28" w:type="dxa"/>
            </w:tcMar>
            <w:vAlign w:val="bottom"/>
          </w:tcPr>
          <w:p>
            <w:pPr>
              <w:pStyle w:val="TableContents"/>
              <w:bidi w:val="0"/>
              <w:spacing w:before="0" w:after="0"/>
              <w:jc w:val="left"/>
              <w:rPr>
                <w:color w:val="000000"/>
              </w:rPr>
            </w:pPr>
            <w:r>
              <w:rPr>
                <w:color w:val="000000"/>
              </w:rPr>
              <w:t>$</w:t>
            </w:r>
          </w:p>
        </w:tc>
        <w:tc>
          <w:tcPr>
            <w:tcW w:w="559" w:type="dxa"/>
            <w:tcBorders>
              <w:bottom w:val="double" w:sz="8" w:space="0" w:color="000000"/>
            </w:tcBorders>
            <w:tcMar>
              <w:top w:w="0" w:type="dxa"/>
              <w:left w:w="0" w:type="dxa"/>
              <w:bottom w:w="28" w:type="dxa"/>
            </w:tcMar>
            <w:vAlign w:val="bottom"/>
          </w:tcPr>
          <w:p>
            <w:pPr>
              <w:pStyle w:val="TableContents"/>
              <w:bidi w:val="0"/>
              <w:spacing w:before="0" w:after="0"/>
              <w:jc w:val="right"/>
              <w:rPr>
                <w:color w:val="000000"/>
              </w:rPr>
            </w:pPr>
            <w:r>
              <w:rPr>
                <w:color w:val="000000"/>
              </w:rPr>
              <w:t>2</w:t>
            </w:r>
          </w:p>
        </w:tc>
        <w:tc>
          <w:tcPr>
            <w:tcW w:w="95" w:type="dxa"/>
            <w:tcBorders>
              <w:bottom w:val="double" w:sz="8" w:space="0" w:color="000000"/>
            </w:tcBorders>
            <w:tcMar>
              <w:top w:w="0" w:type="dxa"/>
              <w:left w:w="0" w:type="dxa"/>
              <w:bottom w:w="28" w:type="dxa"/>
            </w:tcMar>
            <w:vAlign w:val="bottom"/>
          </w:tcPr>
          <w:p>
            <w:pPr>
              <w:pStyle w:val="TableContents"/>
              <w:bidi w:val="0"/>
              <w:spacing w:before="0" w:after="283"/>
              <w:jc w:val="left"/>
              <w:rPr/>
            </w:pPr>
            <w:r>
              <w:rPr/>
              <w:t> </w:t>
            </w:r>
          </w:p>
        </w:tc>
        <w:tc>
          <w:tcPr>
            <w:tcW w:w="60" w:type="dxa"/>
            <w:tcBorders>
              <w:bottom w:val="double" w:sz="8" w:space="0" w:color="000000"/>
            </w:tcBorders>
            <w:tcMar>
              <w:top w:w="0" w:type="dxa"/>
              <w:left w:w="0" w:type="dxa"/>
              <w:bottom w:w="28" w:type="dxa"/>
            </w:tcMar>
            <w:vAlign w:val="bottom"/>
          </w:tcPr>
          <w:p>
            <w:pPr>
              <w:pStyle w:val="TableContents"/>
              <w:bidi w:val="0"/>
              <w:spacing w:before="0" w:after="283"/>
              <w:jc w:val="left"/>
              <w:rPr/>
            </w:pPr>
            <w:r>
              <w:rPr/>
              <w:t> </w:t>
            </w:r>
          </w:p>
        </w:tc>
        <w:tc>
          <w:tcPr>
            <w:tcW w:w="187" w:type="dxa"/>
            <w:tcBorders>
              <w:bottom w:val="double" w:sz="8" w:space="0" w:color="000000"/>
            </w:tcBorders>
            <w:tcMar>
              <w:top w:w="0" w:type="dxa"/>
              <w:left w:w="0" w:type="dxa"/>
              <w:bottom w:w="28" w:type="dxa"/>
            </w:tcMar>
            <w:vAlign w:val="bottom"/>
          </w:tcPr>
          <w:p>
            <w:pPr>
              <w:pStyle w:val="TableContents"/>
              <w:bidi w:val="0"/>
              <w:spacing w:before="0" w:after="0"/>
              <w:jc w:val="left"/>
              <w:rPr>
                <w:color w:val="000000"/>
              </w:rPr>
            </w:pPr>
            <w:r>
              <w:rPr>
                <w:color w:val="000000"/>
              </w:rPr>
              <w:t>$</w:t>
            </w:r>
          </w:p>
        </w:tc>
        <w:tc>
          <w:tcPr>
            <w:tcW w:w="913" w:type="dxa"/>
            <w:tcBorders>
              <w:bottom w:val="double" w:sz="8" w:space="0" w:color="000000"/>
            </w:tcBorders>
            <w:tcMar>
              <w:top w:w="0" w:type="dxa"/>
              <w:left w:w="0" w:type="dxa"/>
              <w:bottom w:w="28" w:type="dxa"/>
            </w:tcMar>
            <w:vAlign w:val="bottom"/>
          </w:tcPr>
          <w:p>
            <w:pPr>
              <w:pStyle w:val="TableContents"/>
              <w:bidi w:val="0"/>
              <w:spacing w:before="0" w:after="0"/>
              <w:jc w:val="right"/>
              <w:rPr>
                <w:color w:val="000000"/>
              </w:rPr>
            </w:pPr>
            <w:r>
              <w:rPr>
                <w:color w:val="000000"/>
              </w:rPr>
              <w:t>77,759</w:t>
            </w:r>
          </w:p>
        </w:tc>
        <w:tc>
          <w:tcPr>
            <w:tcW w:w="95" w:type="dxa"/>
            <w:tcBorders>
              <w:bottom w:val="double" w:sz="8" w:space="0" w:color="000000"/>
            </w:tcBorders>
            <w:tcMar>
              <w:top w:w="0" w:type="dxa"/>
              <w:left w:w="0" w:type="dxa"/>
              <w:bottom w:w="28" w:type="dxa"/>
            </w:tcMar>
            <w:vAlign w:val="bottom"/>
          </w:tcPr>
          <w:p>
            <w:pPr>
              <w:pStyle w:val="TableContents"/>
              <w:bidi w:val="0"/>
              <w:spacing w:before="0" w:after="283"/>
              <w:jc w:val="left"/>
              <w:rPr/>
            </w:pPr>
            <w:r>
              <w:rPr/>
              <w:t> </w:t>
            </w:r>
          </w:p>
        </w:tc>
        <w:tc>
          <w:tcPr>
            <w:tcW w:w="60" w:type="dxa"/>
            <w:tcBorders>
              <w:bottom w:val="double" w:sz="8" w:space="0" w:color="000000"/>
            </w:tcBorders>
            <w:tcMar>
              <w:top w:w="0" w:type="dxa"/>
              <w:left w:w="0" w:type="dxa"/>
              <w:bottom w:w="28" w:type="dxa"/>
            </w:tcMar>
            <w:vAlign w:val="bottom"/>
          </w:tcPr>
          <w:p>
            <w:pPr>
              <w:pStyle w:val="TableContents"/>
              <w:bidi w:val="0"/>
              <w:spacing w:before="0" w:after="283"/>
              <w:jc w:val="left"/>
              <w:rPr/>
            </w:pPr>
            <w:r>
              <w:rPr/>
              <w:t> </w:t>
            </w:r>
          </w:p>
        </w:tc>
        <w:tc>
          <w:tcPr>
            <w:tcW w:w="174" w:type="dxa"/>
            <w:tcBorders>
              <w:bottom w:val="double" w:sz="8" w:space="0" w:color="000000"/>
            </w:tcBorders>
            <w:tcMar>
              <w:top w:w="0" w:type="dxa"/>
              <w:left w:w="0" w:type="dxa"/>
              <w:bottom w:w="28" w:type="dxa"/>
            </w:tcMar>
            <w:vAlign w:val="bottom"/>
          </w:tcPr>
          <w:p>
            <w:pPr>
              <w:pStyle w:val="TableContents"/>
              <w:bidi w:val="0"/>
              <w:spacing w:before="0" w:after="0"/>
              <w:jc w:val="left"/>
              <w:rPr>
                <w:color w:val="000000"/>
              </w:rPr>
            </w:pPr>
            <w:r>
              <w:rPr>
                <w:color w:val="000000"/>
              </w:rPr>
              <w:t>$</w:t>
            </w:r>
          </w:p>
        </w:tc>
        <w:tc>
          <w:tcPr>
            <w:tcW w:w="791" w:type="dxa"/>
            <w:tcBorders>
              <w:bottom w:val="double" w:sz="8" w:space="0" w:color="000000"/>
            </w:tcBorders>
            <w:tcMar>
              <w:top w:w="0" w:type="dxa"/>
              <w:left w:w="0" w:type="dxa"/>
              <w:bottom w:w="28" w:type="dxa"/>
            </w:tcMar>
            <w:vAlign w:val="bottom"/>
          </w:tcPr>
          <w:p>
            <w:pPr>
              <w:pStyle w:val="TableContents"/>
              <w:bidi w:val="0"/>
              <w:spacing w:before="0" w:after="0"/>
              <w:jc w:val="right"/>
              <w:rPr>
                <w:color w:val="000000"/>
              </w:rPr>
            </w:pPr>
            <w:r>
              <w:rPr>
                <w:color w:val="000000"/>
              </w:rPr>
              <w:t>—</w:t>
            </w:r>
          </w:p>
        </w:tc>
        <w:tc>
          <w:tcPr>
            <w:tcW w:w="95" w:type="dxa"/>
            <w:tcBorders>
              <w:bottom w:val="double" w:sz="8" w:space="0" w:color="000000"/>
            </w:tcBorders>
            <w:tcMar>
              <w:top w:w="0" w:type="dxa"/>
              <w:left w:w="0" w:type="dxa"/>
              <w:bottom w:w="28" w:type="dxa"/>
            </w:tcMar>
            <w:vAlign w:val="bottom"/>
          </w:tcPr>
          <w:p>
            <w:pPr>
              <w:pStyle w:val="TableContents"/>
              <w:bidi w:val="0"/>
              <w:spacing w:before="0" w:after="283"/>
              <w:jc w:val="left"/>
              <w:rPr/>
            </w:pPr>
            <w:r>
              <w:rPr/>
              <w:t> </w:t>
            </w:r>
          </w:p>
        </w:tc>
        <w:tc>
          <w:tcPr>
            <w:tcW w:w="60" w:type="dxa"/>
            <w:tcBorders>
              <w:bottom w:val="double" w:sz="8" w:space="0" w:color="000000"/>
            </w:tcBorders>
            <w:tcMar>
              <w:top w:w="0" w:type="dxa"/>
              <w:left w:w="0" w:type="dxa"/>
              <w:bottom w:w="28" w:type="dxa"/>
            </w:tcMar>
            <w:vAlign w:val="bottom"/>
          </w:tcPr>
          <w:p>
            <w:pPr>
              <w:pStyle w:val="TableContents"/>
              <w:bidi w:val="0"/>
              <w:spacing w:before="0" w:after="283"/>
              <w:jc w:val="left"/>
              <w:rPr/>
            </w:pPr>
            <w:r>
              <w:rPr/>
              <w:t> </w:t>
            </w:r>
          </w:p>
        </w:tc>
        <w:tc>
          <w:tcPr>
            <w:tcW w:w="433" w:type="dxa"/>
            <w:tcBorders>
              <w:bottom w:val="double" w:sz="8" w:space="0" w:color="000000"/>
            </w:tcBorders>
            <w:tcMar>
              <w:top w:w="0" w:type="dxa"/>
              <w:left w:w="0" w:type="dxa"/>
              <w:bottom w:w="28" w:type="dxa"/>
            </w:tcMar>
            <w:vAlign w:val="bottom"/>
          </w:tcPr>
          <w:p>
            <w:pPr>
              <w:pStyle w:val="TableContents"/>
              <w:bidi w:val="0"/>
              <w:spacing w:before="0" w:after="0"/>
              <w:jc w:val="left"/>
              <w:rPr>
                <w:color w:val="000000"/>
              </w:rPr>
            </w:pPr>
            <w:r>
              <w:rPr>
                <w:color w:val="000000"/>
              </w:rPr>
              <w:t>$</w:t>
            </w:r>
          </w:p>
        </w:tc>
        <w:tc>
          <w:tcPr>
            <w:tcW w:w="1177" w:type="dxa"/>
            <w:tcBorders>
              <w:bottom w:val="double" w:sz="8" w:space="0" w:color="000000"/>
            </w:tcBorders>
            <w:tcMar>
              <w:top w:w="0" w:type="dxa"/>
              <w:left w:w="0" w:type="dxa"/>
              <w:bottom w:w="28" w:type="dxa"/>
            </w:tcMar>
            <w:vAlign w:val="bottom"/>
          </w:tcPr>
          <w:p>
            <w:pPr>
              <w:pStyle w:val="TableContents"/>
              <w:bidi w:val="0"/>
              <w:spacing w:before="0" w:after="0"/>
              <w:jc w:val="right"/>
              <w:rPr>
                <w:color w:val="000000"/>
              </w:rPr>
            </w:pPr>
            <w:r>
              <w:rPr>
                <w:color w:val="000000"/>
              </w:rPr>
              <w:t>79</w:t>
            </w:r>
          </w:p>
        </w:tc>
        <w:tc>
          <w:tcPr>
            <w:tcW w:w="95" w:type="dxa"/>
            <w:tcBorders>
              <w:bottom w:val="double" w:sz="8" w:space="0" w:color="000000"/>
            </w:tcBorders>
            <w:tcMar>
              <w:top w:w="0" w:type="dxa"/>
              <w:left w:w="0" w:type="dxa"/>
              <w:bottom w:w="28" w:type="dxa"/>
            </w:tcMar>
            <w:vAlign w:val="bottom"/>
          </w:tcPr>
          <w:p>
            <w:pPr>
              <w:pStyle w:val="TableContents"/>
              <w:bidi w:val="0"/>
              <w:spacing w:before="0" w:after="283"/>
              <w:jc w:val="left"/>
              <w:rPr/>
            </w:pPr>
            <w:r>
              <w:rPr/>
              <w:t> </w:t>
            </w:r>
          </w:p>
        </w:tc>
        <w:tc>
          <w:tcPr>
            <w:tcW w:w="60" w:type="dxa"/>
            <w:tcBorders>
              <w:bottom w:val="double" w:sz="8" w:space="0" w:color="000000"/>
            </w:tcBorders>
            <w:tcMar>
              <w:top w:w="0" w:type="dxa"/>
              <w:left w:w="0" w:type="dxa"/>
              <w:bottom w:w="28" w:type="dxa"/>
            </w:tcMar>
            <w:vAlign w:val="bottom"/>
          </w:tcPr>
          <w:p>
            <w:pPr>
              <w:pStyle w:val="TableContents"/>
              <w:bidi w:val="0"/>
              <w:spacing w:before="0" w:after="283"/>
              <w:jc w:val="left"/>
              <w:rPr/>
            </w:pPr>
            <w:r>
              <w:rPr/>
              <w:t> </w:t>
            </w:r>
          </w:p>
        </w:tc>
        <w:tc>
          <w:tcPr>
            <w:tcW w:w="160" w:type="dxa"/>
            <w:tcBorders>
              <w:bottom w:val="double" w:sz="8" w:space="0" w:color="000000"/>
            </w:tcBorders>
            <w:tcMar>
              <w:top w:w="0" w:type="dxa"/>
              <w:left w:w="0" w:type="dxa"/>
              <w:bottom w:w="28" w:type="dxa"/>
            </w:tcMar>
            <w:vAlign w:val="bottom"/>
          </w:tcPr>
          <w:p>
            <w:pPr>
              <w:pStyle w:val="TableContents"/>
              <w:bidi w:val="0"/>
              <w:spacing w:before="0" w:after="0"/>
              <w:jc w:val="left"/>
              <w:rPr>
                <w:color w:val="000000"/>
              </w:rPr>
            </w:pPr>
            <w:r>
              <w:rPr>
                <w:color w:val="000000"/>
              </w:rPr>
              <w:t>$</w:t>
            </w:r>
          </w:p>
        </w:tc>
        <w:tc>
          <w:tcPr>
            <w:tcW w:w="1210" w:type="dxa"/>
            <w:tcBorders>
              <w:bottom w:val="double" w:sz="8" w:space="0" w:color="000000"/>
            </w:tcBorders>
            <w:tcMar>
              <w:top w:w="0" w:type="dxa"/>
              <w:left w:w="0" w:type="dxa"/>
              <w:bottom w:w="28" w:type="dxa"/>
            </w:tcMar>
            <w:vAlign w:val="bottom"/>
          </w:tcPr>
          <w:p>
            <w:pPr>
              <w:pStyle w:val="TableContents"/>
              <w:bidi w:val="0"/>
              <w:spacing w:before="0" w:after="0"/>
              <w:jc w:val="right"/>
              <w:rPr>
                <w:color w:val="000000"/>
              </w:rPr>
            </w:pPr>
            <w:r>
              <w:rPr>
                <w:color w:val="000000"/>
              </w:rPr>
              <w:t>(1,244,367</w:t>
            </w:r>
          </w:p>
        </w:tc>
        <w:tc>
          <w:tcPr>
            <w:tcW w:w="95" w:type="dxa"/>
            <w:tcBorders>
              <w:bottom w:val="double" w:sz="8" w:space="0" w:color="000000"/>
            </w:tcBorders>
            <w:tcMar>
              <w:top w:w="0" w:type="dxa"/>
              <w:left w:w="0" w:type="dxa"/>
              <w:bottom w:w="28" w:type="dxa"/>
            </w:tcMar>
            <w:vAlign w:val="bottom"/>
          </w:tcPr>
          <w:p>
            <w:pPr>
              <w:pStyle w:val="TableContents"/>
              <w:bidi w:val="0"/>
              <w:spacing w:before="0" w:after="0"/>
              <w:jc w:val="left"/>
              <w:rPr>
                <w:color w:val="000000"/>
              </w:rPr>
            </w:pPr>
            <w:r>
              <w:rPr>
                <w:color w:val="000000"/>
              </w:rPr>
              <w:t>)</w:t>
            </w:r>
          </w:p>
        </w:tc>
        <w:tc>
          <w:tcPr>
            <w:tcW w:w="60" w:type="dxa"/>
            <w:tcBorders>
              <w:bottom w:val="double" w:sz="8" w:space="0" w:color="000000"/>
            </w:tcBorders>
            <w:tcMar>
              <w:top w:w="0" w:type="dxa"/>
              <w:left w:w="0" w:type="dxa"/>
              <w:bottom w:w="28" w:type="dxa"/>
            </w:tcMar>
            <w:vAlign w:val="bottom"/>
          </w:tcPr>
          <w:p>
            <w:pPr>
              <w:pStyle w:val="TableContents"/>
              <w:bidi w:val="0"/>
              <w:spacing w:before="0" w:after="283"/>
              <w:jc w:val="left"/>
              <w:rPr/>
            </w:pPr>
            <w:r>
              <w:rPr/>
              <w:t> </w:t>
            </w:r>
          </w:p>
        </w:tc>
        <w:tc>
          <w:tcPr>
            <w:tcW w:w="156" w:type="dxa"/>
            <w:tcBorders>
              <w:bottom w:val="double" w:sz="8" w:space="0" w:color="000000"/>
            </w:tcBorders>
            <w:tcMar>
              <w:top w:w="0" w:type="dxa"/>
              <w:left w:w="0" w:type="dxa"/>
              <w:bottom w:w="28" w:type="dxa"/>
            </w:tcMar>
            <w:vAlign w:val="bottom"/>
          </w:tcPr>
          <w:p>
            <w:pPr>
              <w:pStyle w:val="TableContents"/>
              <w:bidi w:val="0"/>
              <w:spacing w:before="0" w:after="0"/>
              <w:jc w:val="left"/>
              <w:rPr>
                <w:color w:val="000000"/>
              </w:rPr>
            </w:pPr>
            <w:r>
              <w:rPr>
                <w:color w:val="000000"/>
              </w:rPr>
              <w:t>$</w:t>
            </w:r>
          </w:p>
        </w:tc>
        <w:tc>
          <w:tcPr>
            <w:tcW w:w="1184" w:type="dxa"/>
            <w:tcBorders>
              <w:bottom w:val="double" w:sz="8" w:space="0" w:color="000000"/>
            </w:tcBorders>
            <w:tcMar>
              <w:top w:w="0" w:type="dxa"/>
              <w:left w:w="0" w:type="dxa"/>
              <w:bottom w:w="28" w:type="dxa"/>
            </w:tcMar>
            <w:vAlign w:val="bottom"/>
          </w:tcPr>
          <w:p>
            <w:pPr>
              <w:pStyle w:val="TableContents"/>
              <w:bidi w:val="0"/>
              <w:spacing w:before="0" w:after="0"/>
              <w:jc w:val="right"/>
              <w:rPr>
                <w:color w:val="000000"/>
              </w:rPr>
            </w:pPr>
            <w:r>
              <w:rPr>
                <w:color w:val="000000"/>
              </w:rPr>
              <w:t>(1,166,527</w:t>
            </w:r>
          </w:p>
        </w:tc>
        <w:tc>
          <w:tcPr>
            <w:tcW w:w="95" w:type="dxa"/>
            <w:tcBorders>
              <w:bottom w:val="double" w:sz="8" w:space="0" w:color="000000"/>
              <w:right w:val="single" w:sz="12" w:space="0" w:color="000000"/>
            </w:tcBorders>
            <w:tcMar>
              <w:top w:w="0" w:type="dxa"/>
              <w:left w:w="0" w:type="dxa"/>
              <w:bottom w:w="28" w:type="dxa"/>
              <w:right w:w="28" w:type="dxa"/>
            </w:tcMar>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0" w:after="0"/>
        <w:jc w:val="left"/>
        <w:rPr>
          <w:i w:val="false"/>
          <w:caps w:val="false"/>
          <w:smallCaps w:val="false"/>
          <w:color w:val="000000"/>
        </w:rPr>
      </w:pPr>
      <w:r>
        <w:rPr>
          <w:i w:val="false"/>
          <w:caps w:val="false"/>
          <w:smallCaps w:val="false"/>
          <w:color w:val="00000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bookmarkStart w:id="24" w:name="Section7"/>
      <w:bookmarkEnd w:id="24"/>
      <w:r>
        <w:rPr>
          <w:rFonts w:ascii="Times New Roman" w:hAnsi="Times New Roman"/>
          <w:b/>
          <w:color w:val="000000"/>
          <w:sz w:val="20"/>
        </w:rPr>
        <w:t>FREENOME HOLDINGS,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Condensed Consolidated Statements of Cash Flows (unaudited)</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(in thousands)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5" w:name="z858b04f7386242958aab6e131c0e262e"/>
      <w:bookmarkStart w:id="26" w:name="z858b04f7386242958aab6e131c0e262e"/>
      <w:bookmarkEnd w:id="26"/>
    </w:p>
    <w:tbl>
      <w:tblPr>
        <w:tblW w:w="10205" w:type="dxa"/>
        <w:jc w:val="left"/>
        <w:tblInd w:w="0" w:type="dxa"/>
        <w:tblLayout w:type="fixed"/>
        <w:tblCellMar>
          <w:top w:w="0" w:type="dxa"/>
          <w:left w:w="0" w:type="dxa"/>
          <w:bottom w:w="0" w:type="dxa"/>
          <w:right w:w="0" w:type="dxa"/>
        </w:tblCellMar>
      </w:tblPr>
      <w:tblGrid>
        <w:gridCol w:w="7278"/>
        <w:gridCol w:w="60"/>
        <w:gridCol w:w="177"/>
        <w:gridCol w:w="1110"/>
        <w:gridCol w:w="119"/>
        <w:gridCol w:w="75"/>
        <w:gridCol w:w="177"/>
        <w:gridCol w:w="1110"/>
        <w:gridCol w:w="99"/>
      </w:tblGrid>
      <w:tr>
        <w:trPr/>
        <w:tc>
          <w:tcPr>
            <w:tcW w:w="72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68"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Six Months Ended June 30,</w:t>
            </w:r>
          </w:p>
        </w:tc>
        <w:tc>
          <w:tcPr>
            <w:tcW w:w="99" w:type="dxa"/>
            <w:tcBorders/>
            <w:vAlign w:val="bottom"/>
          </w:tcPr>
          <w:p>
            <w:pPr>
              <w:pStyle w:val="TableContents"/>
              <w:bidi w:val="0"/>
              <w:spacing w:before="0" w:after="283"/>
              <w:jc w:val="left"/>
              <w:rPr/>
            </w:pPr>
            <w:r>
              <w:rPr/>
              <w:t> </w:t>
            </w:r>
          </w:p>
        </w:tc>
      </w:tr>
      <w:tr>
        <w:trPr/>
        <w:tc>
          <w:tcPr>
            <w:tcW w:w="72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7"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119"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287"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99" w:type="dxa"/>
            <w:tcBorders/>
            <w:vAlign w:val="bottom"/>
          </w:tcPr>
          <w:p>
            <w:pPr>
              <w:pStyle w:val="TableContents"/>
              <w:bidi w:val="0"/>
              <w:spacing w:before="0" w:after="283"/>
              <w:jc w:val="left"/>
              <w:rPr/>
            </w:pPr>
            <w:r>
              <w:rPr/>
              <w:t> </w:t>
            </w:r>
          </w:p>
        </w:tc>
      </w:tr>
      <w:tr>
        <w:trPr/>
        <w:tc>
          <w:tcPr>
            <w:tcW w:w="7278" w:type="dxa"/>
            <w:tcBorders/>
            <w:vAlign w:val="bottom"/>
          </w:tcPr>
          <w:p>
            <w:pPr>
              <w:pStyle w:val="TableContents"/>
              <w:bidi w:val="0"/>
              <w:spacing w:before="0" w:after="0"/>
              <w:ind w:left="144" w:right="0" w:hanging="144"/>
              <w:jc w:val="left"/>
              <w:rPr>
                <w:b/>
                <w:color w:val="000000"/>
              </w:rPr>
            </w:pPr>
            <w:r>
              <w:rPr>
                <w:b/>
                <w:color w:val="000000"/>
              </w:rPr>
              <w:t>Cash flows from operating activities</w:t>
            </w:r>
          </w:p>
        </w:tc>
        <w:tc>
          <w:tcPr>
            <w:tcW w:w="60" w:type="dxa"/>
            <w:tcBorders/>
            <w:vAlign w:val="bottom"/>
          </w:tcPr>
          <w:p>
            <w:pPr>
              <w:pStyle w:val="TableContents"/>
              <w:bidi w:val="0"/>
              <w:spacing w:before="0" w:after="283"/>
              <w:jc w:val="left"/>
              <w:rPr/>
            </w:pPr>
            <w:r>
              <w:rPr/>
              <w:t> </w:t>
            </w:r>
          </w:p>
        </w:tc>
        <w:tc>
          <w:tcPr>
            <w:tcW w:w="1287" w:type="dxa"/>
            <w:gridSpan w:val="2"/>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287" w:type="dxa"/>
            <w:gridSpan w:val="2"/>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r>
      <w:tr>
        <w:trPr/>
        <w:tc>
          <w:tcPr>
            <w:tcW w:w="7278" w:type="dxa"/>
            <w:tcBorders/>
            <w:shd w:fill="CCEEFF" w:val="clear"/>
            <w:vAlign w:val="bottom"/>
          </w:tcPr>
          <w:p>
            <w:pPr>
              <w:pStyle w:val="TableContents"/>
              <w:bidi w:val="0"/>
              <w:spacing w:before="0" w:after="0"/>
              <w:ind w:left="144" w:right="0" w:hanging="144"/>
              <w:jc w:val="left"/>
              <w:rPr>
                <w:color w:val="000000"/>
              </w:rPr>
            </w:pPr>
            <w:r>
              <w:rPr>
                <w:color w:val="000000"/>
              </w:rPr>
              <w:t>Net loss</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0"/>
              <w:jc w:val="left"/>
              <w:rPr>
                <w:color w:val="000000"/>
              </w:rPr>
            </w:pPr>
            <w:r>
              <w:rPr>
                <w:color w:val="000000"/>
              </w:rPr>
              <w:t>$</w:t>
            </w:r>
          </w:p>
        </w:tc>
        <w:tc>
          <w:tcPr>
            <w:tcW w:w="1110" w:type="dxa"/>
            <w:tcBorders/>
            <w:shd w:fill="CCEEFF" w:val="clear"/>
            <w:vAlign w:val="bottom"/>
          </w:tcPr>
          <w:p>
            <w:pPr>
              <w:pStyle w:val="TableContents"/>
              <w:bidi w:val="0"/>
              <w:spacing w:before="0" w:after="0"/>
              <w:jc w:val="right"/>
              <w:rPr>
                <w:color w:val="000000"/>
              </w:rPr>
            </w:pPr>
            <w:r>
              <w:rPr>
                <w:color w:val="000000"/>
              </w:rPr>
              <w:t>(132,588</w:t>
            </w:r>
          </w:p>
        </w:tc>
        <w:tc>
          <w:tcPr>
            <w:tcW w:w="119" w:type="dxa"/>
            <w:tcBorders/>
            <w:shd w:fill="CCEEFF" w:val="clear"/>
            <w:vAlign w:val="bottom"/>
          </w:tcPr>
          <w:p>
            <w:pPr>
              <w:pStyle w:val="TableContents"/>
              <w:bidi w:val="0"/>
              <w:spacing w:before="0" w:after="0"/>
              <w:jc w:val="left"/>
              <w:rPr>
                <w:color w:val="000000"/>
              </w:rPr>
            </w:pPr>
            <w:r>
              <w:rPr>
                <w:color w:val="000000"/>
              </w:rPr>
              <w:t>)</w:t>
            </w:r>
          </w:p>
        </w:tc>
        <w:tc>
          <w:tcPr>
            <w:tcW w:w="7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0"/>
              <w:jc w:val="left"/>
              <w:rPr>
                <w:color w:val="000000"/>
              </w:rPr>
            </w:pPr>
            <w:r>
              <w:rPr>
                <w:color w:val="000000"/>
              </w:rPr>
              <w:t>$</w:t>
            </w:r>
          </w:p>
        </w:tc>
        <w:tc>
          <w:tcPr>
            <w:tcW w:w="1110" w:type="dxa"/>
            <w:tcBorders/>
            <w:shd w:fill="CCEEFF" w:val="clear"/>
            <w:vAlign w:val="bottom"/>
          </w:tcPr>
          <w:p>
            <w:pPr>
              <w:pStyle w:val="TableContents"/>
              <w:bidi w:val="0"/>
              <w:spacing w:before="0" w:after="0"/>
              <w:jc w:val="right"/>
              <w:rPr>
                <w:color w:val="000000"/>
              </w:rPr>
            </w:pPr>
            <w:r>
              <w:rPr>
                <w:color w:val="000000"/>
              </w:rPr>
              <w:t>(116,605</w:t>
            </w:r>
          </w:p>
        </w:tc>
        <w:tc>
          <w:tcPr>
            <w:tcW w:w="99" w:type="dxa"/>
            <w:tcBorders/>
            <w:shd w:fill="CCEEFF" w:val="clear"/>
            <w:vAlign w:val="bottom"/>
          </w:tcPr>
          <w:p>
            <w:pPr>
              <w:pStyle w:val="TableContents"/>
              <w:bidi w:val="0"/>
              <w:spacing w:before="0" w:after="0"/>
              <w:jc w:val="left"/>
              <w:rPr>
                <w:color w:val="000000"/>
              </w:rPr>
            </w:pPr>
            <w:r>
              <w:rPr>
                <w:color w:val="000000"/>
              </w:rPr>
              <w:t>)</w:t>
            </w:r>
          </w:p>
        </w:tc>
      </w:tr>
      <w:tr>
        <w:trPr/>
        <w:tc>
          <w:tcPr>
            <w:tcW w:w="7278" w:type="dxa"/>
            <w:tcBorders/>
            <w:vAlign w:val="bottom"/>
          </w:tcPr>
          <w:p>
            <w:pPr>
              <w:pStyle w:val="TableContents"/>
              <w:bidi w:val="0"/>
              <w:spacing w:before="0" w:after="0"/>
              <w:ind w:left="144" w:right="0" w:hanging="144"/>
              <w:jc w:val="left"/>
              <w:rPr>
                <w:color w:val="000000"/>
              </w:rPr>
            </w:pPr>
            <w:r>
              <w:rPr>
                <w:color w:val="000000"/>
              </w:rPr>
              <w:t>Adjustments to reconcile net loss to net cash used in operating activities:</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 </w:t>
            </w:r>
          </w:p>
        </w:tc>
        <w:tc>
          <w:tcPr>
            <w:tcW w:w="119"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 </w:t>
            </w:r>
          </w:p>
        </w:tc>
        <w:tc>
          <w:tcPr>
            <w:tcW w:w="99" w:type="dxa"/>
            <w:tcBorders/>
            <w:vAlign w:val="bottom"/>
          </w:tcPr>
          <w:p>
            <w:pPr>
              <w:pStyle w:val="TableContents"/>
              <w:bidi w:val="0"/>
              <w:spacing w:before="0" w:after="283"/>
              <w:jc w:val="left"/>
              <w:rPr/>
            </w:pPr>
            <w:r>
              <w:rPr/>
              <w:t> </w:t>
            </w:r>
          </w:p>
        </w:tc>
      </w:tr>
      <w:tr>
        <w:trPr/>
        <w:tc>
          <w:tcPr>
            <w:tcW w:w="7278" w:type="dxa"/>
            <w:tcBorders/>
            <w:shd w:fill="CCEEFF" w:val="clear"/>
            <w:vAlign w:val="bottom"/>
          </w:tcPr>
          <w:p>
            <w:pPr>
              <w:pStyle w:val="TableContents"/>
              <w:bidi w:val="0"/>
              <w:spacing w:before="0" w:after="0"/>
              <w:ind w:left="324" w:right="0" w:hanging="144"/>
              <w:jc w:val="left"/>
              <w:rPr>
                <w:color w:val="000000"/>
              </w:rPr>
            </w:pPr>
            <w:r>
              <w:rPr>
                <w:color w:val="000000"/>
              </w:rPr>
              <w:t>Depreciation and amortization</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0"/>
              <w:jc w:val="right"/>
              <w:rPr>
                <w:color w:val="000000"/>
              </w:rPr>
            </w:pPr>
            <w:r>
              <w:rPr>
                <w:color w:val="000000"/>
              </w:rPr>
              <w:t>12,308</w:t>
            </w:r>
          </w:p>
        </w:tc>
        <w:tc>
          <w:tcPr>
            <w:tcW w:w="119"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0"/>
              <w:jc w:val="right"/>
              <w:rPr>
                <w:color w:val="000000"/>
              </w:rPr>
            </w:pPr>
            <w:r>
              <w:rPr>
                <w:color w:val="000000"/>
              </w:rPr>
              <w:t>12,014</w:t>
            </w:r>
          </w:p>
        </w:tc>
        <w:tc>
          <w:tcPr>
            <w:tcW w:w="99" w:type="dxa"/>
            <w:tcBorders/>
            <w:shd w:fill="CCEEFF" w:val="clear"/>
            <w:vAlign w:val="bottom"/>
          </w:tcPr>
          <w:p>
            <w:pPr>
              <w:pStyle w:val="TableContents"/>
              <w:bidi w:val="0"/>
              <w:spacing w:before="0" w:after="283"/>
              <w:jc w:val="left"/>
              <w:rPr/>
            </w:pPr>
            <w:r>
              <w:rPr/>
              <w:t> </w:t>
            </w:r>
          </w:p>
        </w:tc>
      </w:tr>
      <w:tr>
        <w:trPr/>
        <w:tc>
          <w:tcPr>
            <w:tcW w:w="7278" w:type="dxa"/>
            <w:tcBorders/>
            <w:vAlign w:val="bottom"/>
          </w:tcPr>
          <w:p>
            <w:pPr>
              <w:pStyle w:val="TableContents"/>
              <w:bidi w:val="0"/>
              <w:spacing w:before="0" w:after="0"/>
              <w:ind w:left="324" w:right="0" w:hanging="144"/>
              <w:jc w:val="left"/>
              <w:rPr>
                <w:color w:val="000000"/>
              </w:rPr>
            </w:pPr>
            <w:r>
              <w:rPr>
                <w:color w:val="000000"/>
              </w:rPr>
              <w:t>Noncash lease expense</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0"/>
              <w:jc w:val="right"/>
              <w:rPr>
                <w:color w:val="000000"/>
              </w:rPr>
            </w:pPr>
            <w:r>
              <w:rPr>
                <w:color w:val="000000"/>
              </w:rPr>
              <w:t>1,249</w:t>
            </w:r>
          </w:p>
        </w:tc>
        <w:tc>
          <w:tcPr>
            <w:tcW w:w="119"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0"/>
              <w:jc w:val="right"/>
              <w:rPr>
                <w:color w:val="000000"/>
              </w:rPr>
            </w:pPr>
            <w:r>
              <w:rPr>
                <w:color w:val="000000"/>
              </w:rPr>
              <w:t>3,024</w:t>
            </w:r>
          </w:p>
        </w:tc>
        <w:tc>
          <w:tcPr>
            <w:tcW w:w="99" w:type="dxa"/>
            <w:tcBorders/>
            <w:vAlign w:val="bottom"/>
          </w:tcPr>
          <w:p>
            <w:pPr>
              <w:pStyle w:val="TableContents"/>
              <w:bidi w:val="0"/>
              <w:spacing w:before="0" w:after="283"/>
              <w:jc w:val="left"/>
              <w:rPr/>
            </w:pPr>
            <w:r>
              <w:rPr/>
              <w:t> </w:t>
            </w:r>
          </w:p>
        </w:tc>
      </w:tr>
      <w:tr>
        <w:trPr/>
        <w:tc>
          <w:tcPr>
            <w:tcW w:w="7278" w:type="dxa"/>
            <w:tcBorders/>
            <w:shd w:fill="CCEEFF" w:val="clear"/>
            <w:vAlign w:val="bottom"/>
          </w:tcPr>
          <w:p>
            <w:pPr>
              <w:pStyle w:val="TableContents"/>
              <w:bidi w:val="0"/>
              <w:spacing w:before="0" w:after="0"/>
              <w:ind w:left="324" w:right="0" w:hanging="144"/>
              <w:jc w:val="left"/>
              <w:rPr>
                <w:color w:val="000000"/>
              </w:rPr>
            </w:pPr>
            <w:r>
              <w:rPr>
                <w:color w:val="000000"/>
              </w:rPr>
              <w:t>Stock-based compensation expense</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0"/>
              <w:jc w:val="right"/>
              <w:rPr>
                <w:color w:val="000000"/>
              </w:rPr>
            </w:pPr>
            <w:r>
              <w:rPr>
                <w:color w:val="000000"/>
              </w:rPr>
              <w:t>5,637</w:t>
            </w:r>
          </w:p>
        </w:tc>
        <w:tc>
          <w:tcPr>
            <w:tcW w:w="119"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0"/>
              <w:jc w:val="right"/>
              <w:rPr>
                <w:color w:val="000000"/>
              </w:rPr>
            </w:pPr>
            <w:r>
              <w:rPr>
                <w:color w:val="000000"/>
              </w:rPr>
              <w:t>5,014</w:t>
            </w:r>
          </w:p>
        </w:tc>
        <w:tc>
          <w:tcPr>
            <w:tcW w:w="99" w:type="dxa"/>
            <w:tcBorders/>
            <w:shd w:fill="CCEEFF" w:val="clear"/>
            <w:vAlign w:val="bottom"/>
          </w:tcPr>
          <w:p>
            <w:pPr>
              <w:pStyle w:val="TableContents"/>
              <w:bidi w:val="0"/>
              <w:spacing w:before="0" w:after="283"/>
              <w:jc w:val="left"/>
              <w:rPr/>
            </w:pPr>
            <w:r>
              <w:rPr/>
              <w:t> </w:t>
            </w:r>
          </w:p>
        </w:tc>
      </w:tr>
      <w:tr>
        <w:trPr/>
        <w:tc>
          <w:tcPr>
            <w:tcW w:w="7278" w:type="dxa"/>
            <w:tcBorders/>
            <w:vAlign w:val="bottom"/>
          </w:tcPr>
          <w:p>
            <w:pPr>
              <w:pStyle w:val="TableContents"/>
              <w:bidi w:val="0"/>
              <w:spacing w:before="0" w:after="0"/>
              <w:ind w:left="324" w:right="0" w:hanging="144"/>
              <w:jc w:val="left"/>
              <w:rPr>
                <w:color w:val="000000"/>
              </w:rPr>
            </w:pPr>
            <w:r>
              <w:rPr>
                <w:color w:val="000000"/>
              </w:rPr>
              <w:t>Net accretion and amortization of investments in marketable securities</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0"/>
              <w:jc w:val="right"/>
              <w:rPr>
                <w:color w:val="000000"/>
              </w:rPr>
            </w:pPr>
            <w:r>
              <w:rPr>
                <w:color w:val="000000"/>
              </w:rPr>
              <w:t>(1,689</w:t>
            </w:r>
          </w:p>
        </w:tc>
        <w:tc>
          <w:tcPr>
            <w:tcW w:w="119" w:type="dxa"/>
            <w:tcBorders/>
            <w:vAlign w:val="bottom"/>
          </w:tcPr>
          <w:p>
            <w:pPr>
              <w:pStyle w:val="TableContents"/>
              <w:bidi w:val="0"/>
              <w:spacing w:before="0" w:after="0"/>
              <w:jc w:val="left"/>
              <w:rPr>
                <w:color w:val="000000"/>
              </w:rPr>
            </w:pPr>
            <w:r>
              <w:rPr>
                <w:color w:val="000000"/>
              </w:rPr>
              <w:t>)</w:t>
            </w:r>
          </w:p>
        </w:tc>
        <w:tc>
          <w:tcPr>
            <w:tcW w:w="7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0"/>
              <w:jc w:val="right"/>
              <w:rPr>
                <w:color w:val="000000"/>
              </w:rPr>
            </w:pPr>
            <w:r>
              <w:rPr>
                <w:color w:val="000000"/>
              </w:rPr>
              <w:t>(2,581</w:t>
            </w:r>
          </w:p>
        </w:tc>
        <w:tc>
          <w:tcPr>
            <w:tcW w:w="99" w:type="dxa"/>
            <w:tcBorders/>
            <w:vAlign w:val="bottom"/>
          </w:tcPr>
          <w:p>
            <w:pPr>
              <w:pStyle w:val="TableContents"/>
              <w:bidi w:val="0"/>
              <w:spacing w:before="0" w:after="0"/>
              <w:jc w:val="left"/>
              <w:rPr>
                <w:color w:val="000000"/>
              </w:rPr>
            </w:pPr>
            <w:r>
              <w:rPr>
                <w:color w:val="000000"/>
              </w:rPr>
              <w:t>)</w:t>
            </w:r>
          </w:p>
        </w:tc>
      </w:tr>
      <w:tr>
        <w:trPr/>
        <w:tc>
          <w:tcPr>
            <w:tcW w:w="7278" w:type="dxa"/>
            <w:tcBorders/>
            <w:shd w:fill="CCEEFF" w:val="clear"/>
            <w:vAlign w:val="bottom"/>
          </w:tcPr>
          <w:p>
            <w:pPr>
              <w:pStyle w:val="TableContents"/>
              <w:bidi w:val="0"/>
              <w:spacing w:before="0" w:after="0"/>
              <w:ind w:left="324" w:right="0" w:hanging="144"/>
              <w:jc w:val="left"/>
              <w:rPr>
                <w:color w:val="000000"/>
              </w:rPr>
            </w:pPr>
            <w:r>
              <w:rPr>
                <w:color w:val="000000"/>
              </w:rPr>
              <w:t>Non-cash interest expense and amortization of debt issuance costs</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0"/>
              <w:jc w:val="right"/>
              <w:rPr>
                <w:color w:val="000000"/>
              </w:rPr>
            </w:pPr>
            <w:r>
              <w:rPr>
                <w:color w:val="000000"/>
              </w:rPr>
              <w:t>6,513</w:t>
            </w:r>
          </w:p>
        </w:tc>
        <w:tc>
          <w:tcPr>
            <w:tcW w:w="119"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0"/>
              <w:jc w:val="right"/>
              <w:rPr>
                <w:color w:val="000000"/>
              </w:rPr>
            </w:pPr>
            <w:r>
              <w:rPr>
                <w:color w:val="000000"/>
              </w:rPr>
              <w:t>—</w:t>
            </w:r>
          </w:p>
        </w:tc>
        <w:tc>
          <w:tcPr>
            <w:tcW w:w="99" w:type="dxa"/>
            <w:tcBorders/>
            <w:shd w:fill="CCEEFF" w:val="clear"/>
            <w:vAlign w:val="bottom"/>
          </w:tcPr>
          <w:p>
            <w:pPr>
              <w:pStyle w:val="TableContents"/>
              <w:bidi w:val="0"/>
              <w:spacing w:before="0" w:after="283"/>
              <w:jc w:val="left"/>
              <w:rPr/>
            </w:pPr>
            <w:r>
              <w:rPr/>
              <w:t> </w:t>
            </w:r>
          </w:p>
        </w:tc>
      </w:tr>
      <w:tr>
        <w:trPr/>
        <w:tc>
          <w:tcPr>
            <w:tcW w:w="7278" w:type="dxa"/>
            <w:tcBorders/>
            <w:vAlign w:val="bottom"/>
          </w:tcPr>
          <w:p>
            <w:pPr>
              <w:pStyle w:val="TableContents"/>
              <w:bidi w:val="0"/>
              <w:spacing w:before="0" w:after="0"/>
              <w:ind w:left="324" w:right="0" w:hanging="144"/>
              <w:jc w:val="left"/>
              <w:rPr>
                <w:color w:val="000000"/>
              </w:rPr>
            </w:pPr>
            <w:r>
              <w:rPr>
                <w:color w:val="000000"/>
              </w:rPr>
              <w:t>Change in fair value of convertible note</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0"/>
              <w:jc w:val="right"/>
              <w:rPr>
                <w:color w:val="000000"/>
              </w:rPr>
            </w:pPr>
            <w:r>
              <w:rPr>
                <w:color w:val="000000"/>
              </w:rPr>
              <w:t>100</w:t>
            </w:r>
          </w:p>
        </w:tc>
        <w:tc>
          <w:tcPr>
            <w:tcW w:w="119"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0"/>
              <w:jc w:val="right"/>
              <w:rPr>
                <w:color w:val="000000"/>
              </w:rPr>
            </w:pPr>
            <w:r>
              <w:rPr>
                <w:color w:val="000000"/>
              </w:rPr>
              <w:t>—</w:t>
            </w:r>
          </w:p>
        </w:tc>
        <w:tc>
          <w:tcPr>
            <w:tcW w:w="99" w:type="dxa"/>
            <w:tcBorders/>
            <w:vAlign w:val="bottom"/>
          </w:tcPr>
          <w:p>
            <w:pPr>
              <w:pStyle w:val="TableContents"/>
              <w:bidi w:val="0"/>
              <w:spacing w:before="0" w:after="283"/>
              <w:jc w:val="left"/>
              <w:rPr/>
            </w:pPr>
            <w:r>
              <w:rPr/>
              <w:t> </w:t>
            </w:r>
          </w:p>
        </w:tc>
      </w:tr>
      <w:tr>
        <w:trPr/>
        <w:tc>
          <w:tcPr>
            <w:tcW w:w="7278" w:type="dxa"/>
            <w:tcBorders/>
            <w:shd w:fill="CCEEFF" w:val="clear"/>
            <w:vAlign w:val="bottom"/>
          </w:tcPr>
          <w:p>
            <w:pPr>
              <w:pStyle w:val="TableContents"/>
              <w:bidi w:val="0"/>
              <w:spacing w:before="0" w:after="0"/>
              <w:ind w:left="144" w:right="0" w:hanging="144"/>
              <w:jc w:val="left"/>
              <w:rPr>
                <w:color w:val="000000"/>
              </w:rPr>
            </w:pPr>
            <w:r>
              <w:rPr>
                <w:color w:val="000000"/>
              </w:rPr>
              <w:t>Changes in operating assets and liabilities:</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 </w:t>
            </w:r>
          </w:p>
        </w:tc>
        <w:tc>
          <w:tcPr>
            <w:tcW w:w="99" w:type="dxa"/>
            <w:tcBorders/>
            <w:shd w:fill="CCEEFF" w:val="clear"/>
            <w:vAlign w:val="bottom"/>
          </w:tcPr>
          <w:p>
            <w:pPr>
              <w:pStyle w:val="TableContents"/>
              <w:bidi w:val="0"/>
              <w:spacing w:before="0" w:after="283"/>
              <w:jc w:val="left"/>
              <w:rPr/>
            </w:pPr>
            <w:r>
              <w:rPr/>
              <w:t> </w:t>
            </w:r>
          </w:p>
        </w:tc>
      </w:tr>
      <w:tr>
        <w:trPr/>
        <w:tc>
          <w:tcPr>
            <w:tcW w:w="7278" w:type="dxa"/>
            <w:tcBorders/>
            <w:vAlign w:val="bottom"/>
          </w:tcPr>
          <w:p>
            <w:pPr>
              <w:pStyle w:val="TableContents"/>
              <w:bidi w:val="0"/>
              <w:spacing w:before="0" w:after="0"/>
              <w:ind w:left="324" w:right="0" w:hanging="144"/>
              <w:jc w:val="left"/>
              <w:rPr>
                <w:color w:val="000000"/>
              </w:rPr>
            </w:pPr>
            <w:r>
              <w:rPr>
                <w:color w:val="000000"/>
              </w:rPr>
              <w:t>Accounts and other receivables</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0"/>
              <w:jc w:val="right"/>
              <w:rPr>
                <w:color w:val="000000"/>
              </w:rPr>
            </w:pPr>
            <w:r>
              <w:rPr>
                <w:color w:val="000000"/>
              </w:rPr>
              <w:t>(2,240</w:t>
            </w:r>
          </w:p>
        </w:tc>
        <w:tc>
          <w:tcPr>
            <w:tcW w:w="119" w:type="dxa"/>
            <w:tcBorders/>
            <w:vAlign w:val="bottom"/>
          </w:tcPr>
          <w:p>
            <w:pPr>
              <w:pStyle w:val="TableContents"/>
              <w:bidi w:val="0"/>
              <w:spacing w:before="0" w:after="0"/>
              <w:jc w:val="left"/>
              <w:rPr>
                <w:color w:val="000000"/>
              </w:rPr>
            </w:pPr>
            <w:r>
              <w:rPr>
                <w:color w:val="000000"/>
              </w:rPr>
              <w:t>)</w:t>
            </w:r>
          </w:p>
        </w:tc>
        <w:tc>
          <w:tcPr>
            <w:tcW w:w="7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0"/>
              <w:jc w:val="right"/>
              <w:rPr>
                <w:color w:val="000000"/>
              </w:rPr>
            </w:pPr>
            <w:r>
              <w:rPr>
                <w:color w:val="000000"/>
              </w:rPr>
              <w:t>319</w:t>
            </w:r>
          </w:p>
        </w:tc>
        <w:tc>
          <w:tcPr>
            <w:tcW w:w="99" w:type="dxa"/>
            <w:tcBorders/>
            <w:vAlign w:val="bottom"/>
          </w:tcPr>
          <w:p>
            <w:pPr>
              <w:pStyle w:val="TableContents"/>
              <w:bidi w:val="0"/>
              <w:spacing w:before="0" w:after="283"/>
              <w:jc w:val="left"/>
              <w:rPr/>
            </w:pPr>
            <w:r>
              <w:rPr/>
              <w:t> </w:t>
            </w:r>
          </w:p>
        </w:tc>
      </w:tr>
      <w:tr>
        <w:trPr/>
        <w:tc>
          <w:tcPr>
            <w:tcW w:w="7278" w:type="dxa"/>
            <w:tcBorders/>
            <w:shd w:fill="CCEEFF" w:val="clear"/>
            <w:vAlign w:val="bottom"/>
          </w:tcPr>
          <w:p>
            <w:pPr>
              <w:pStyle w:val="TableContents"/>
              <w:bidi w:val="0"/>
              <w:spacing w:before="0" w:after="0"/>
              <w:ind w:left="324" w:right="0" w:hanging="144"/>
              <w:jc w:val="left"/>
              <w:rPr>
                <w:color w:val="000000"/>
              </w:rPr>
            </w:pPr>
            <w:r>
              <w:rPr>
                <w:color w:val="000000"/>
              </w:rPr>
              <w:t>Prepaid expenses and other current assets</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0"/>
              <w:jc w:val="right"/>
              <w:rPr>
                <w:color w:val="000000"/>
              </w:rPr>
            </w:pPr>
            <w:r>
              <w:rPr>
                <w:color w:val="000000"/>
              </w:rPr>
              <w:t>825</w:t>
            </w:r>
          </w:p>
        </w:tc>
        <w:tc>
          <w:tcPr>
            <w:tcW w:w="119"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0"/>
              <w:jc w:val="right"/>
              <w:rPr>
                <w:color w:val="000000"/>
              </w:rPr>
            </w:pPr>
            <w:r>
              <w:rPr>
                <w:color w:val="000000"/>
              </w:rPr>
              <w:t>(1,231</w:t>
            </w:r>
          </w:p>
        </w:tc>
        <w:tc>
          <w:tcPr>
            <w:tcW w:w="99" w:type="dxa"/>
            <w:tcBorders/>
            <w:shd w:fill="CCEEFF" w:val="clear"/>
            <w:vAlign w:val="bottom"/>
          </w:tcPr>
          <w:p>
            <w:pPr>
              <w:pStyle w:val="TableContents"/>
              <w:bidi w:val="0"/>
              <w:spacing w:before="0" w:after="0"/>
              <w:jc w:val="left"/>
              <w:rPr>
                <w:color w:val="000000"/>
              </w:rPr>
            </w:pPr>
            <w:r>
              <w:rPr>
                <w:color w:val="000000"/>
              </w:rPr>
              <w:t>)</w:t>
            </w:r>
          </w:p>
        </w:tc>
      </w:tr>
      <w:tr>
        <w:trPr/>
        <w:tc>
          <w:tcPr>
            <w:tcW w:w="7278" w:type="dxa"/>
            <w:tcBorders/>
            <w:vAlign w:val="bottom"/>
          </w:tcPr>
          <w:p>
            <w:pPr>
              <w:pStyle w:val="TableContents"/>
              <w:bidi w:val="0"/>
              <w:spacing w:before="0" w:after="0"/>
              <w:ind w:left="324" w:right="0" w:hanging="144"/>
              <w:jc w:val="left"/>
              <w:rPr>
                <w:color w:val="000000"/>
              </w:rPr>
            </w:pPr>
            <w:r>
              <w:rPr>
                <w:color w:val="000000"/>
              </w:rPr>
              <w:t>Other long-term assets</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0"/>
              <w:jc w:val="right"/>
              <w:rPr>
                <w:color w:val="000000"/>
              </w:rPr>
            </w:pPr>
            <w:r>
              <w:rPr>
                <w:color w:val="000000"/>
              </w:rPr>
              <w:t>—</w:t>
            </w:r>
          </w:p>
        </w:tc>
        <w:tc>
          <w:tcPr>
            <w:tcW w:w="119"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0"/>
              <w:jc w:val="right"/>
              <w:rPr>
                <w:color w:val="000000"/>
              </w:rPr>
            </w:pPr>
            <w:r>
              <w:rPr>
                <w:color w:val="000000"/>
              </w:rPr>
              <w:t>269</w:t>
            </w:r>
          </w:p>
        </w:tc>
        <w:tc>
          <w:tcPr>
            <w:tcW w:w="99" w:type="dxa"/>
            <w:tcBorders/>
            <w:vAlign w:val="bottom"/>
          </w:tcPr>
          <w:p>
            <w:pPr>
              <w:pStyle w:val="TableContents"/>
              <w:bidi w:val="0"/>
              <w:spacing w:before="0" w:after="283"/>
              <w:jc w:val="left"/>
              <w:rPr/>
            </w:pPr>
            <w:r>
              <w:rPr/>
              <w:t> </w:t>
            </w:r>
          </w:p>
        </w:tc>
      </w:tr>
      <w:tr>
        <w:trPr/>
        <w:tc>
          <w:tcPr>
            <w:tcW w:w="7278" w:type="dxa"/>
            <w:tcBorders/>
            <w:shd w:fill="CCEEFF" w:val="clear"/>
            <w:vAlign w:val="bottom"/>
          </w:tcPr>
          <w:p>
            <w:pPr>
              <w:pStyle w:val="TableContents"/>
              <w:bidi w:val="0"/>
              <w:spacing w:before="0" w:after="0"/>
              <w:ind w:left="324" w:right="0" w:hanging="144"/>
              <w:jc w:val="left"/>
              <w:rPr>
                <w:color w:val="000000"/>
              </w:rPr>
            </w:pPr>
            <w:r>
              <w:rPr>
                <w:color w:val="000000"/>
              </w:rPr>
              <w:t>Accounts payable</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0"/>
              <w:jc w:val="right"/>
              <w:rPr>
                <w:color w:val="000000"/>
              </w:rPr>
            </w:pPr>
            <w:r>
              <w:rPr>
                <w:color w:val="000000"/>
              </w:rPr>
              <w:t>7,802</w:t>
            </w:r>
          </w:p>
        </w:tc>
        <w:tc>
          <w:tcPr>
            <w:tcW w:w="119"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0"/>
              <w:jc w:val="right"/>
              <w:rPr>
                <w:color w:val="000000"/>
              </w:rPr>
            </w:pPr>
            <w:r>
              <w:rPr>
                <w:color w:val="000000"/>
              </w:rPr>
              <w:t>(1,886</w:t>
            </w:r>
          </w:p>
        </w:tc>
        <w:tc>
          <w:tcPr>
            <w:tcW w:w="99" w:type="dxa"/>
            <w:tcBorders/>
            <w:shd w:fill="CCEEFF" w:val="clear"/>
            <w:vAlign w:val="bottom"/>
          </w:tcPr>
          <w:p>
            <w:pPr>
              <w:pStyle w:val="TableContents"/>
              <w:bidi w:val="0"/>
              <w:spacing w:before="0" w:after="0"/>
              <w:jc w:val="left"/>
              <w:rPr>
                <w:color w:val="000000"/>
              </w:rPr>
            </w:pPr>
            <w:r>
              <w:rPr>
                <w:color w:val="000000"/>
              </w:rPr>
              <w:t>)</w:t>
            </w:r>
          </w:p>
        </w:tc>
      </w:tr>
      <w:tr>
        <w:trPr/>
        <w:tc>
          <w:tcPr>
            <w:tcW w:w="7278" w:type="dxa"/>
            <w:tcBorders/>
            <w:vAlign w:val="bottom"/>
          </w:tcPr>
          <w:p>
            <w:pPr>
              <w:pStyle w:val="TableContents"/>
              <w:bidi w:val="0"/>
              <w:spacing w:before="0" w:after="0"/>
              <w:ind w:left="324" w:right="0" w:hanging="144"/>
              <w:jc w:val="left"/>
              <w:rPr>
                <w:color w:val="000000"/>
              </w:rPr>
            </w:pPr>
            <w:r>
              <w:rPr>
                <w:color w:val="000000"/>
              </w:rPr>
              <w:t>Accrued compensation and other related benefits</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0"/>
              <w:jc w:val="right"/>
              <w:rPr>
                <w:color w:val="000000"/>
              </w:rPr>
            </w:pPr>
            <w:r>
              <w:rPr>
                <w:color w:val="000000"/>
              </w:rPr>
              <w:t>(4,433</w:t>
            </w:r>
          </w:p>
        </w:tc>
        <w:tc>
          <w:tcPr>
            <w:tcW w:w="119" w:type="dxa"/>
            <w:tcBorders/>
            <w:vAlign w:val="bottom"/>
          </w:tcPr>
          <w:p>
            <w:pPr>
              <w:pStyle w:val="TableContents"/>
              <w:bidi w:val="0"/>
              <w:spacing w:before="0" w:after="0"/>
              <w:jc w:val="left"/>
              <w:rPr>
                <w:color w:val="000000"/>
              </w:rPr>
            </w:pPr>
            <w:r>
              <w:rPr>
                <w:color w:val="000000"/>
              </w:rPr>
              <w:t>)</w:t>
            </w:r>
          </w:p>
        </w:tc>
        <w:tc>
          <w:tcPr>
            <w:tcW w:w="7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0"/>
              <w:jc w:val="right"/>
              <w:rPr>
                <w:color w:val="000000"/>
              </w:rPr>
            </w:pPr>
            <w:r>
              <w:rPr>
                <w:color w:val="000000"/>
              </w:rPr>
              <w:t>(5,143</w:t>
            </w:r>
          </w:p>
        </w:tc>
        <w:tc>
          <w:tcPr>
            <w:tcW w:w="99" w:type="dxa"/>
            <w:tcBorders/>
            <w:vAlign w:val="bottom"/>
          </w:tcPr>
          <w:p>
            <w:pPr>
              <w:pStyle w:val="TableContents"/>
              <w:bidi w:val="0"/>
              <w:spacing w:before="0" w:after="0"/>
              <w:jc w:val="left"/>
              <w:rPr>
                <w:color w:val="000000"/>
              </w:rPr>
            </w:pPr>
            <w:r>
              <w:rPr>
                <w:color w:val="000000"/>
              </w:rPr>
              <w:t>)</w:t>
            </w:r>
          </w:p>
        </w:tc>
      </w:tr>
      <w:tr>
        <w:trPr/>
        <w:tc>
          <w:tcPr>
            <w:tcW w:w="7278" w:type="dxa"/>
            <w:tcBorders/>
            <w:shd w:fill="CCEEFF" w:val="clear"/>
            <w:vAlign w:val="bottom"/>
          </w:tcPr>
          <w:p>
            <w:pPr>
              <w:pStyle w:val="TableContents"/>
              <w:bidi w:val="0"/>
              <w:spacing w:before="0" w:after="0"/>
              <w:ind w:left="324" w:right="0" w:hanging="144"/>
              <w:jc w:val="left"/>
              <w:rPr>
                <w:color w:val="000000"/>
              </w:rPr>
            </w:pPr>
            <w:r>
              <w:rPr>
                <w:color w:val="000000"/>
              </w:rPr>
              <w:t>Accrued expenses and other current liabilities</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0"/>
              <w:jc w:val="right"/>
              <w:rPr>
                <w:color w:val="000000"/>
              </w:rPr>
            </w:pPr>
            <w:r>
              <w:rPr>
                <w:color w:val="000000"/>
              </w:rPr>
              <w:t>(540</w:t>
            </w:r>
          </w:p>
        </w:tc>
        <w:tc>
          <w:tcPr>
            <w:tcW w:w="119" w:type="dxa"/>
            <w:tcBorders/>
            <w:shd w:fill="CCEEFF" w:val="clear"/>
            <w:vAlign w:val="bottom"/>
          </w:tcPr>
          <w:p>
            <w:pPr>
              <w:pStyle w:val="TableContents"/>
              <w:bidi w:val="0"/>
              <w:spacing w:before="0" w:after="0"/>
              <w:jc w:val="left"/>
              <w:rPr>
                <w:color w:val="000000"/>
              </w:rPr>
            </w:pPr>
            <w:r>
              <w:rPr>
                <w:color w:val="000000"/>
              </w:rPr>
              <w:t>)</w:t>
            </w:r>
          </w:p>
        </w:tc>
        <w:tc>
          <w:tcPr>
            <w:tcW w:w="7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0"/>
              <w:jc w:val="right"/>
              <w:rPr>
                <w:color w:val="000000"/>
              </w:rPr>
            </w:pPr>
            <w:r>
              <w:rPr>
                <w:color w:val="000000"/>
              </w:rPr>
              <w:t>201</w:t>
            </w:r>
          </w:p>
        </w:tc>
        <w:tc>
          <w:tcPr>
            <w:tcW w:w="99" w:type="dxa"/>
            <w:tcBorders/>
            <w:shd w:fill="CCEEFF" w:val="clear"/>
            <w:vAlign w:val="bottom"/>
          </w:tcPr>
          <w:p>
            <w:pPr>
              <w:pStyle w:val="TableContents"/>
              <w:bidi w:val="0"/>
              <w:spacing w:before="0" w:after="283"/>
              <w:jc w:val="left"/>
              <w:rPr/>
            </w:pPr>
            <w:r>
              <w:rPr/>
              <w:t> </w:t>
            </w:r>
          </w:p>
        </w:tc>
      </w:tr>
      <w:tr>
        <w:trPr/>
        <w:tc>
          <w:tcPr>
            <w:tcW w:w="7278" w:type="dxa"/>
            <w:tcBorders/>
            <w:vAlign w:val="bottom"/>
          </w:tcPr>
          <w:p>
            <w:pPr>
              <w:pStyle w:val="TableContents"/>
              <w:bidi w:val="0"/>
              <w:spacing w:before="0" w:after="0"/>
              <w:ind w:left="324" w:right="0" w:hanging="144"/>
              <w:jc w:val="left"/>
              <w:rPr>
                <w:color w:val="000000"/>
              </w:rPr>
            </w:pPr>
            <w:r>
              <w:rPr>
                <w:color w:val="000000"/>
              </w:rPr>
              <w:t>Deferred revenue</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0"/>
              <w:jc w:val="right"/>
              <w:rPr>
                <w:color w:val="000000"/>
              </w:rPr>
            </w:pPr>
            <w:r>
              <w:rPr>
                <w:color w:val="000000"/>
              </w:rPr>
              <w:t>14,845</w:t>
            </w:r>
          </w:p>
        </w:tc>
        <w:tc>
          <w:tcPr>
            <w:tcW w:w="119"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0"/>
              <w:jc w:val="right"/>
              <w:rPr>
                <w:color w:val="000000"/>
              </w:rPr>
            </w:pPr>
            <w:r>
              <w:rPr>
                <w:color w:val="000000"/>
              </w:rPr>
              <w:t>—</w:t>
            </w:r>
          </w:p>
        </w:tc>
        <w:tc>
          <w:tcPr>
            <w:tcW w:w="99" w:type="dxa"/>
            <w:tcBorders/>
            <w:vAlign w:val="bottom"/>
          </w:tcPr>
          <w:p>
            <w:pPr>
              <w:pStyle w:val="TableContents"/>
              <w:bidi w:val="0"/>
              <w:spacing w:before="0" w:after="283"/>
              <w:jc w:val="left"/>
              <w:rPr/>
            </w:pPr>
            <w:r>
              <w:rPr/>
              <w:t> </w:t>
            </w:r>
          </w:p>
        </w:tc>
      </w:tr>
      <w:tr>
        <w:trPr/>
        <w:tc>
          <w:tcPr>
            <w:tcW w:w="7278" w:type="dxa"/>
            <w:tcBorders/>
            <w:shd w:fill="CCEEFF" w:val="clear"/>
            <w:vAlign w:val="bottom"/>
          </w:tcPr>
          <w:p>
            <w:pPr>
              <w:pStyle w:val="TableContents"/>
              <w:bidi w:val="0"/>
              <w:spacing w:before="0" w:after="0"/>
              <w:ind w:left="324" w:right="0" w:hanging="144"/>
              <w:jc w:val="left"/>
              <w:rPr>
                <w:color w:val="000000"/>
              </w:rPr>
            </w:pPr>
            <w:r>
              <w:rPr>
                <w:color w:val="000000"/>
              </w:rPr>
              <w:t>Operating lease liabilities</w:t>
            </w:r>
          </w:p>
        </w:tc>
        <w:tc>
          <w:tcPr>
            <w:tcW w:w="60" w:type="dxa"/>
            <w:tcBorders/>
            <w:shd w:fill="CCEEFF" w:val="clear"/>
            <w:vAlign w:val="bottom"/>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(4,899</w:t>
            </w:r>
          </w:p>
        </w:tc>
        <w:tc>
          <w:tcPr>
            <w:tcW w:w="119" w:type="dxa"/>
            <w:tcBorders/>
            <w:shd w:fill="CCEEFF" w:val="clear"/>
            <w:vAlign w:val="bottom"/>
          </w:tcPr>
          <w:p>
            <w:pPr>
              <w:pStyle w:val="TableContents"/>
              <w:bidi w:val="0"/>
              <w:spacing w:before="0" w:after="0"/>
              <w:jc w:val="left"/>
              <w:rPr>
                <w:color w:val="000000"/>
              </w:rPr>
            </w:pPr>
            <w:r>
              <w:rPr>
                <w:color w:val="000000"/>
              </w:rPr>
              <w:t>)</w:t>
            </w:r>
          </w:p>
        </w:tc>
        <w:tc>
          <w:tcPr>
            <w:tcW w:w="75" w:type="dxa"/>
            <w:tcBorders/>
            <w:shd w:fill="CCEEFF" w:val="clear"/>
            <w:vAlign w:val="bottom"/>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6,959</w:t>
            </w:r>
          </w:p>
        </w:tc>
        <w:tc>
          <w:tcPr>
            <w:tcW w:w="99" w:type="dxa"/>
            <w:tcBorders/>
            <w:shd w:fill="CCEEFF" w:val="clear"/>
            <w:vAlign w:val="bottom"/>
          </w:tcPr>
          <w:p>
            <w:pPr>
              <w:pStyle w:val="TableContents"/>
              <w:bidi w:val="0"/>
              <w:spacing w:before="0" w:after="283"/>
              <w:jc w:val="left"/>
              <w:rPr/>
            </w:pPr>
            <w:r>
              <w:rPr/>
              <w:t> </w:t>
            </w:r>
          </w:p>
        </w:tc>
      </w:tr>
      <w:tr>
        <w:trPr/>
        <w:tc>
          <w:tcPr>
            <w:tcW w:w="7278" w:type="dxa"/>
            <w:tcBorders/>
            <w:vAlign w:val="bottom"/>
          </w:tcPr>
          <w:p>
            <w:pPr>
              <w:pStyle w:val="TableContents"/>
              <w:bidi w:val="0"/>
              <w:spacing w:before="0" w:after="0"/>
              <w:ind w:left="504" w:right="0" w:hanging="144"/>
              <w:jc w:val="left"/>
              <w:rPr>
                <w:color w:val="000000"/>
              </w:rPr>
            </w:pPr>
            <w:r>
              <w:rPr>
                <w:color w:val="000000"/>
              </w:rPr>
              <w:t>Net cash used in operating activities</w:t>
            </w:r>
          </w:p>
        </w:tc>
        <w:tc>
          <w:tcPr>
            <w:tcW w:w="60" w:type="dxa"/>
            <w:tcBorders/>
            <w:vAlign w:val="bottom"/>
          </w:tcPr>
          <w:p>
            <w:pPr>
              <w:pStyle w:val="TableContents"/>
              <w:bidi w:val="0"/>
              <w:spacing w:before="0" w:after="283"/>
              <w:jc w:val="left"/>
              <w:rPr/>
            </w:pPr>
            <w:r>
              <w:rPr/>
              <w:t> </w:t>
            </w:r>
          </w:p>
        </w:tc>
        <w:tc>
          <w:tcPr>
            <w:tcW w:w="177" w:type="dxa"/>
            <w:tcBorders>
              <w:bottom w:val="single" w:sz="12" w:space="0" w:color="000000"/>
            </w:tcBorders>
            <w:tcMar>
              <w:bottom w:w="28" w:type="dxa"/>
            </w:tcMar>
            <w:vAlign w:val="bottom"/>
          </w:tcPr>
          <w:p>
            <w:pPr>
              <w:pStyle w:val="TableContents"/>
              <w:bidi w:val="0"/>
              <w:spacing w:before="0" w:after="283"/>
              <w:jc w:val="left"/>
              <w:rPr/>
            </w:pPr>
            <w:r>
              <w:rPr/>
              <w:t> </w:t>
            </w:r>
          </w:p>
        </w:tc>
        <w:tc>
          <w:tcPr>
            <w:tcW w:w="11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(97,110</w:t>
            </w:r>
          </w:p>
        </w:tc>
        <w:tc>
          <w:tcPr>
            <w:tcW w:w="119" w:type="dxa"/>
            <w:tcBorders/>
            <w:vAlign w:val="bottom"/>
          </w:tcPr>
          <w:p>
            <w:pPr>
              <w:pStyle w:val="TableContents"/>
              <w:bidi w:val="0"/>
              <w:spacing w:before="0" w:after="0"/>
              <w:jc w:val="left"/>
              <w:rPr>
                <w:color w:val="000000"/>
              </w:rPr>
            </w:pPr>
            <w:r>
              <w:rPr>
                <w:color w:val="000000"/>
              </w:rPr>
              <w:t>)</w:t>
            </w:r>
          </w:p>
        </w:tc>
        <w:tc>
          <w:tcPr>
            <w:tcW w:w="75" w:type="dxa"/>
            <w:tcBorders/>
            <w:vAlign w:val="bottom"/>
          </w:tcPr>
          <w:p>
            <w:pPr>
              <w:pStyle w:val="TableContents"/>
              <w:bidi w:val="0"/>
              <w:spacing w:before="0" w:after="283"/>
              <w:jc w:val="left"/>
              <w:rPr/>
            </w:pPr>
            <w:r>
              <w:rPr/>
              <w:t> </w:t>
            </w:r>
          </w:p>
        </w:tc>
        <w:tc>
          <w:tcPr>
            <w:tcW w:w="177" w:type="dxa"/>
            <w:tcBorders>
              <w:bottom w:val="single" w:sz="12" w:space="0" w:color="000000"/>
            </w:tcBorders>
            <w:tcMar>
              <w:bottom w:w="28" w:type="dxa"/>
            </w:tcMar>
            <w:vAlign w:val="bottom"/>
          </w:tcPr>
          <w:p>
            <w:pPr>
              <w:pStyle w:val="TableContents"/>
              <w:bidi w:val="0"/>
              <w:spacing w:before="0" w:after="283"/>
              <w:jc w:val="left"/>
              <w:rPr/>
            </w:pPr>
            <w:r>
              <w:rPr/>
              <w:t> </w:t>
            </w:r>
          </w:p>
        </w:tc>
        <w:tc>
          <w:tcPr>
            <w:tcW w:w="11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(99,646</w:t>
            </w:r>
          </w:p>
        </w:tc>
        <w:tc>
          <w:tcPr>
            <w:tcW w:w="99" w:type="dxa"/>
            <w:tcBorders/>
            <w:vAlign w:val="bottom"/>
          </w:tcPr>
          <w:p>
            <w:pPr>
              <w:pStyle w:val="TableContents"/>
              <w:bidi w:val="0"/>
              <w:spacing w:before="0" w:after="0"/>
              <w:jc w:val="left"/>
              <w:rPr>
                <w:color w:val="000000"/>
              </w:rPr>
            </w:pPr>
            <w:r>
              <w:rPr>
                <w:color w:val="000000"/>
              </w:rPr>
              <w:t>)</w:t>
            </w:r>
          </w:p>
        </w:tc>
      </w:tr>
      <w:tr>
        <w:trPr/>
        <w:tc>
          <w:tcPr>
            <w:tcW w:w="7278" w:type="dxa"/>
            <w:tcBorders/>
            <w:shd w:fill="CCEEFF" w:val="clear"/>
            <w:vAlign w:val="bottom"/>
          </w:tcPr>
          <w:p>
            <w:pPr>
              <w:pStyle w:val="TableContents"/>
              <w:bidi w:val="0"/>
              <w:spacing w:before="0" w:after="0"/>
              <w:ind w:left="144" w:right="0" w:hanging="144"/>
              <w:jc w:val="left"/>
              <w:rPr>
                <w:b/>
                <w:color w:val="000000"/>
              </w:rPr>
            </w:pPr>
            <w:r>
              <w:rPr>
                <w:b/>
                <w:color w:val="000000"/>
              </w:rPr>
              <w:t>Cash flows from investing activities</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 </w:t>
            </w:r>
          </w:p>
        </w:tc>
        <w:tc>
          <w:tcPr>
            <w:tcW w:w="99" w:type="dxa"/>
            <w:tcBorders/>
            <w:shd w:fill="CCEEFF" w:val="clear"/>
            <w:vAlign w:val="bottom"/>
          </w:tcPr>
          <w:p>
            <w:pPr>
              <w:pStyle w:val="TableContents"/>
              <w:bidi w:val="0"/>
              <w:spacing w:before="0" w:after="283"/>
              <w:jc w:val="left"/>
              <w:rPr/>
            </w:pPr>
            <w:r>
              <w:rPr/>
              <w:t> </w:t>
            </w:r>
          </w:p>
        </w:tc>
      </w:tr>
      <w:tr>
        <w:trPr/>
        <w:tc>
          <w:tcPr>
            <w:tcW w:w="7278" w:type="dxa"/>
            <w:tcBorders/>
            <w:vAlign w:val="bottom"/>
          </w:tcPr>
          <w:p>
            <w:pPr>
              <w:pStyle w:val="TableContents"/>
              <w:bidi w:val="0"/>
              <w:spacing w:before="0" w:after="0"/>
              <w:ind w:left="144" w:right="0" w:hanging="144"/>
              <w:jc w:val="left"/>
              <w:rPr>
                <w:color w:val="000000"/>
              </w:rPr>
            </w:pPr>
            <w:r>
              <w:rPr>
                <w:color w:val="000000"/>
              </w:rPr>
              <w:t>Purchases of marketable securities</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0"/>
              <w:jc w:val="right"/>
              <w:rPr>
                <w:color w:val="000000"/>
              </w:rPr>
            </w:pPr>
            <w:r>
              <w:rPr>
                <w:color w:val="000000"/>
              </w:rPr>
              <w:t>(22,547</w:t>
            </w:r>
          </w:p>
        </w:tc>
        <w:tc>
          <w:tcPr>
            <w:tcW w:w="119" w:type="dxa"/>
            <w:tcBorders/>
            <w:vAlign w:val="bottom"/>
          </w:tcPr>
          <w:p>
            <w:pPr>
              <w:pStyle w:val="TableContents"/>
              <w:bidi w:val="0"/>
              <w:spacing w:before="0" w:after="0"/>
              <w:jc w:val="left"/>
              <w:rPr>
                <w:color w:val="000000"/>
              </w:rPr>
            </w:pPr>
            <w:r>
              <w:rPr>
                <w:color w:val="000000"/>
              </w:rPr>
              <w:t>)</w:t>
            </w:r>
          </w:p>
        </w:tc>
        <w:tc>
          <w:tcPr>
            <w:tcW w:w="7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0"/>
              <w:jc w:val="right"/>
              <w:rPr>
                <w:color w:val="000000"/>
              </w:rPr>
            </w:pPr>
            <w:r>
              <w:rPr>
                <w:color w:val="000000"/>
              </w:rPr>
              <w:t>(67,492</w:t>
            </w:r>
          </w:p>
        </w:tc>
        <w:tc>
          <w:tcPr>
            <w:tcW w:w="99" w:type="dxa"/>
            <w:tcBorders/>
            <w:vAlign w:val="bottom"/>
          </w:tcPr>
          <w:p>
            <w:pPr>
              <w:pStyle w:val="TableContents"/>
              <w:bidi w:val="0"/>
              <w:spacing w:before="0" w:after="0"/>
              <w:jc w:val="left"/>
              <w:rPr>
                <w:color w:val="000000"/>
              </w:rPr>
            </w:pPr>
            <w:r>
              <w:rPr>
                <w:color w:val="000000"/>
              </w:rPr>
              <w:t>)</w:t>
            </w:r>
          </w:p>
        </w:tc>
      </w:tr>
      <w:tr>
        <w:trPr/>
        <w:tc>
          <w:tcPr>
            <w:tcW w:w="7278" w:type="dxa"/>
            <w:tcBorders/>
            <w:shd w:fill="CCEEFF" w:val="clear"/>
            <w:vAlign w:val="bottom"/>
          </w:tcPr>
          <w:p>
            <w:pPr>
              <w:pStyle w:val="TableContents"/>
              <w:bidi w:val="0"/>
              <w:spacing w:before="0" w:after="0"/>
              <w:ind w:left="144" w:right="0" w:hanging="144"/>
              <w:jc w:val="left"/>
              <w:rPr>
                <w:color w:val="000000"/>
              </w:rPr>
            </w:pPr>
            <w:r>
              <w:rPr>
                <w:color w:val="000000"/>
              </w:rPr>
              <w:t>Proceeds from maturities of marketable securities</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0"/>
              <w:jc w:val="right"/>
              <w:rPr>
                <w:color w:val="000000"/>
              </w:rPr>
            </w:pPr>
            <w:r>
              <w:rPr>
                <w:color w:val="000000"/>
              </w:rPr>
              <w:t>145,700</w:t>
            </w:r>
          </w:p>
        </w:tc>
        <w:tc>
          <w:tcPr>
            <w:tcW w:w="119"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0"/>
              <w:jc w:val="right"/>
              <w:rPr>
                <w:color w:val="000000"/>
              </w:rPr>
            </w:pPr>
            <w:r>
              <w:rPr>
                <w:color w:val="000000"/>
              </w:rPr>
              <w:t>177,800</w:t>
            </w:r>
          </w:p>
        </w:tc>
        <w:tc>
          <w:tcPr>
            <w:tcW w:w="99" w:type="dxa"/>
            <w:tcBorders/>
            <w:shd w:fill="CCEEFF" w:val="clear"/>
            <w:vAlign w:val="bottom"/>
          </w:tcPr>
          <w:p>
            <w:pPr>
              <w:pStyle w:val="TableContents"/>
              <w:bidi w:val="0"/>
              <w:spacing w:before="0" w:after="283"/>
              <w:jc w:val="left"/>
              <w:rPr/>
            </w:pPr>
            <w:r>
              <w:rPr/>
              <w:t> </w:t>
            </w:r>
          </w:p>
        </w:tc>
      </w:tr>
      <w:tr>
        <w:trPr/>
        <w:tc>
          <w:tcPr>
            <w:tcW w:w="7278" w:type="dxa"/>
            <w:tcBorders/>
            <w:vAlign w:val="bottom"/>
          </w:tcPr>
          <w:p>
            <w:pPr>
              <w:pStyle w:val="TableContents"/>
              <w:bidi w:val="0"/>
              <w:spacing w:before="0" w:after="0"/>
              <w:ind w:left="144" w:right="0" w:hanging="144"/>
              <w:jc w:val="left"/>
              <w:rPr>
                <w:color w:val="000000"/>
              </w:rPr>
            </w:pPr>
            <w:r>
              <w:rPr>
                <w:color w:val="000000"/>
              </w:rPr>
              <w:t>Purchases of property and equipment</w:t>
            </w:r>
          </w:p>
        </w:tc>
        <w:tc>
          <w:tcPr>
            <w:tcW w:w="60" w:type="dxa"/>
            <w:tcBorders/>
            <w:vAlign w:val="bottom"/>
          </w:tcPr>
          <w:p>
            <w:pPr>
              <w:pStyle w:val="TableContents"/>
              <w:bidi w:val="0"/>
              <w:spacing w:before="0" w:after="283"/>
              <w:jc w:val="left"/>
              <w:rPr/>
            </w:pPr>
            <w:r>
              <w:rPr/>
              <w:t> </w:t>
            </w:r>
          </w:p>
        </w:tc>
        <w:tc>
          <w:tcPr>
            <w:tcW w:w="177" w:type="dxa"/>
            <w:tcBorders>
              <w:bottom w:val="single" w:sz="12" w:space="0" w:color="000000"/>
            </w:tcBorders>
            <w:tcMar>
              <w:bottom w:w="28" w:type="dxa"/>
            </w:tcMar>
            <w:vAlign w:val="bottom"/>
          </w:tcPr>
          <w:p>
            <w:pPr>
              <w:pStyle w:val="TableContents"/>
              <w:bidi w:val="0"/>
              <w:spacing w:before="0" w:after="283"/>
              <w:jc w:val="left"/>
              <w:rPr/>
            </w:pPr>
            <w:r>
              <w:rPr/>
              <w:t> </w:t>
            </w:r>
          </w:p>
        </w:tc>
        <w:tc>
          <w:tcPr>
            <w:tcW w:w="11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(12,488</w:t>
            </w:r>
          </w:p>
        </w:tc>
        <w:tc>
          <w:tcPr>
            <w:tcW w:w="119" w:type="dxa"/>
            <w:tcBorders/>
            <w:vAlign w:val="bottom"/>
          </w:tcPr>
          <w:p>
            <w:pPr>
              <w:pStyle w:val="TableContents"/>
              <w:bidi w:val="0"/>
              <w:spacing w:before="0" w:after="0"/>
              <w:jc w:val="left"/>
              <w:rPr>
                <w:color w:val="000000"/>
              </w:rPr>
            </w:pPr>
            <w:r>
              <w:rPr>
                <w:color w:val="000000"/>
              </w:rPr>
              <w:t>)</w:t>
            </w:r>
          </w:p>
        </w:tc>
        <w:tc>
          <w:tcPr>
            <w:tcW w:w="75" w:type="dxa"/>
            <w:tcBorders/>
            <w:vAlign w:val="bottom"/>
          </w:tcPr>
          <w:p>
            <w:pPr>
              <w:pStyle w:val="TableContents"/>
              <w:bidi w:val="0"/>
              <w:spacing w:before="0" w:after="283"/>
              <w:jc w:val="left"/>
              <w:rPr/>
            </w:pPr>
            <w:r>
              <w:rPr/>
              <w:t> </w:t>
            </w:r>
          </w:p>
        </w:tc>
        <w:tc>
          <w:tcPr>
            <w:tcW w:w="177" w:type="dxa"/>
            <w:tcBorders>
              <w:bottom w:val="single" w:sz="12" w:space="0" w:color="000000"/>
            </w:tcBorders>
            <w:tcMar>
              <w:bottom w:w="28" w:type="dxa"/>
            </w:tcMar>
            <w:vAlign w:val="bottom"/>
          </w:tcPr>
          <w:p>
            <w:pPr>
              <w:pStyle w:val="TableContents"/>
              <w:bidi w:val="0"/>
              <w:spacing w:before="0" w:after="283"/>
              <w:jc w:val="left"/>
              <w:rPr/>
            </w:pPr>
            <w:r>
              <w:rPr/>
              <w:t> </w:t>
            </w:r>
          </w:p>
        </w:tc>
        <w:tc>
          <w:tcPr>
            <w:tcW w:w="11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(17,564</w:t>
            </w:r>
          </w:p>
        </w:tc>
        <w:tc>
          <w:tcPr>
            <w:tcW w:w="99" w:type="dxa"/>
            <w:tcBorders/>
            <w:vAlign w:val="bottom"/>
          </w:tcPr>
          <w:p>
            <w:pPr>
              <w:pStyle w:val="TableContents"/>
              <w:bidi w:val="0"/>
              <w:spacing w:before="0" w:after="0"/>
              <w:jc w:val="left"/>
              <w:rPr>
                <w:color w:val="000000"/>
              </w:rPr>
            </w:pPr>
            <w:r>
              <w:rPr>
                <w:color w:val="000000"/>
              </w:rPr>
              <w:t>)</w:t>
            </w:r>
          </w:p>
        </w:tc>
      </w:tr>
      <w:tr>
        <w:trPr/>
        <w:tc>
          <w:tcPr>
            <w:tcW w:w="7278" w:type="dxa"/>
            <w:tcBorders/>
            <w:shd w:fill="CCEEFF" w:val="clear"/>
            <w:vAlign w:val="bottom"/>
          </w:tcPr>
          <w:p>
            <w:pPr>
              <w:pStyle w:val="TableContents"/>
              <w:bidi w:val="0"/>
              <w:spacing w:before="0" w:after="0"/>
              <w:ind w:left="504" w:right="0" w:hanging="144"/>
              <w:jc w:val="left"/>
              <w:rPr>
                <w:color w:val="000000"/>
              </w:rPr>
            </w:pPr>
            <w:r>
              <w:rPr>
                <w:color w:val="000000"/>
              </w:rPr>
              <w:t>Net cash provided by investing activities</w:t>
            </w:r>
          </w:p>
        </w:tc>
        <w:tc>
          <w:tcPr>
            <w:tcW w:w="60" w:type="dxa"/>
            <w:tcBorders/>
            <w:shd w:fill="CCEEFF" w:val="clear"/>
            <w:vAlign w:val="bottom"/>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110,665</w:t>
            </w:r>
          </w:p>
        </w:tc>
        <w:tc>
          <w:tcPr>
            <w:tcW w:w="119"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92,744</w:t>
            </w:r>
          </w:p>
        </w:tc>
        <w:tc>
          <w:tcPr>
            <w:tcW w:w="99" w:type="dxa"/>
            <w:tcBorders/>
            <w:shd w:fill="CCEEFF" w:val="clear"/>
            <w:vAlign w:val="bottom"/>
          </w:tcPr>
          <w:p>
            <w:pPr>
              <w:pStyle w:val="TableContents"/>
              <w:bidi w:val="0"/>
              <w:spacing w:before="0" w:after="283"/>
              <w:jc w:val="left"/>
              <w:rPr/>
            </w:pPr>
            <w:r>
              <w:rPr/>
              <w:t> </w:t>
            </w:r>
          </w:p>
        </w:tc>
      </w:tr>
      <w:tr>
        <w:trPr/>
        <w:tc>
          <w:tcPr>
            <w:tcW w:w="7278" w:type="dxa"/>
            <w:tcBorders/>
            <w:vAlign w:val="bottom"/>
          </w:tcPr>
          <w:p>
            <w:pPr>
              <w:pStyle w:val="TableContents"/>
              <w:bidi w:val="0"/>
              <w:spacing w:before="0" w:after="0"/>
              <w:ind w:left="144" w:right="0" w:hanging="144"/>
              <w:jc w:val="left"/>
              <w:rPr>
                <w:b/>
                <w:color w:val="000000"/>
              </w:rPr>
            </w:pPr>
            <w:r>
              <w:rPr>
                <w:b/>
                <w:color w:val="000000"/>
              </w:rPr>
              <w:t>Cash flows from financing activities</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 </w:t>
            </w:r>
          </w:p>
        </w:tc>
        <w:tc>
          <w:tcPr>
            <w:tcW w:w="119"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283"/>
              <w:jc w:val="right"/>
              <w:rPr/>
            </w:pPr>
            <w:r>
              <w:rPr/>
              <w:t> </w:t>
            </w:r>
          </w:p>
        </w:tc>
        <w:tc>
          <w:tcPr>
            <w:tcW w:w="99" w:type="dxa"/>
            <w:tcBorders/>
            <w:vAlign w:val="bottom"/>
          </w:tcPr>
          <w:p>
            <w:pPr>
              <w:pStyle w:val="TableContents"/>
              <w:bidi w:val="0"/>
              <w:spacing w:before="0" w:after="283"/>
              <w:jc w:val="left"/>
              <w:rPr/>
            </w:pPr>
            <w:r>
              <w:rPr/>
              <w:t> </w:t>
            </w:r>
          </w:p>
        </w:tc>
      </w:tr>
      <w:tr>
        <w:trPr/>
        <w:tc>
          <w:tcPr>
            <w:tcW w:w="7278" w:type="dxa"/>
            <w:tcBorders/>
            <w:shd w:fill="CCEEFF" w:val="clear"/>
            <w:vAlign w:val="bottom"/>
          </w:tcPr>
          <w:p>
            <w:pPr>
              <w:pStyle w:val="TableContents"/>
              <w:bidi w:val="0"/>
              <w:spacing w:before="0" w:after="0"/>
              <w:ind w:left="144" w:right="0" w:hanging="144"/>
              <w:jc w:val="left"/>
              <w:rPr>
                <w:color w:val="000000"/>
              </w:rPr>
            </w:pPr>
            <w:r>
              <w:rPr>
                <w:color w:val="000000"/>
              </w:rPr>
              <w:t>Payments made on finance leases</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0"/>
              <w:jc w:val="right"/>
              <w:rPr>
                <w:color w:val="000000"/>
              </w:rPr>
            </w:pPr>
            <w:r>
              <w:rPr>
                <w:color w:val="000000"/>
              </w:rPr>
              <w:t>—</w:t>
            </w:r>
          </w:p>
        </w:tc>
        <w:tc>
          <w:tcPr>
            <w:tcW w:w="119"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0"/>
              <w:jc w:val="right"/>
              <w:rPr>
                <w:color w:val="000000"/>
              </w:rPr>
            </w:pPr>
            <w:r>
              <w:rPr>
                <w:color w:val="000000"/>
              </w:rPr>
              <w:t>(135</w:t>
            </w:r>
          </w:p>
        </w:tc>
        <w:tc>
          <w:tcPr>
            <w:tcW w:w="99" w:type="dxa"/>
            <w:tcBorders/>
            <w:shd w:fill="CCEEFF" w:val="clear"/>
            <w:vAlign w:val="bottom"/>
          </w:tcPr>
          <w:p>
            <w:pPr>
              <w:pStyle w:val="TableContents"/>
              <w:bidi w:val="0"/>
              <w:spacing w:before="0" w:after="0"/>
              <w:jc w:val="left"/>
              <w:rPr>
                <w:color w:val="000000"/>
              </w:rPr>
            </w:pPr>
            <w:r>
              <w:rPr>
                <w:color w:val="000000"/>
              </w:rPr>
              <w:t>)</w:t>
            </w:r>
          </w:p>
        </w:tc>
      </w:tr>
      <w:tr>
        <w:trPr/>
        <w:tc>
          <w:tcPr>
            <w:tcW w:w="7278" w:type="dxa"/>
            <w:tcBorders/>
            <w:vAlign w:val="bottom"/>
          </w:tcPr>
          <w:p>
            <w:pPr>
              <w:pStyle w:val="TableContents"/>
              <w:bidi w:val="0"/>
              <w:spacing w:before="0" w:after="0"/>
              <w:ind w:left="144" w:right="0" w:hanging="144"/>
              <w:jc w:val="left"/>
              <w:rPr>
                <w:color w:val="000000"/>
              </w:rPr>
            </w:pPr>
            <w:r>
              <w:rPr>
                <w:color w:val="000000"/>
              </w:rPr>
              <w:t>Payment for offering costs</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0"/>
              <w:jc w:val="right"/>
              <w:rPr>
                <w:color w:val="000000"/>
              </w:rPr>
            </w:pPr>
            <w:r>
              <w:rPr>
                <w:color w:val="000000"/>
              </w:rPr>
              <w:t>(6,185</w:t>
            </w:r>
          </w:p>
        </w:tc>
        <w:tc>
          <w:tcPr>
            <w:tcW w:w="119" w:type="dxa"/>
            <w:tcBorders/>
            <w:vAlign w:val="bottom"/>
          </w:tcPr>
          <w:p>
            <w:pPr>
              <w:pStyle w:val="TableContents"/>
              <w:bidi w:val="0"/>
              <w:spacing w:before="0" w:after="0"/>
              <w:jc w:val="left"/>
              <w:rPr>
                <w:color w:val="000000"/>
              </w:rPr>
            </w:pPr>
            <w:r>
              <w:rPr>
                <w:color w:val="000000"/>
              </w:rPr>
              <w:t>)</w:t>
            </w:r>
          </w:p>
        </w:tc>
        <w:tc>
          <w:tcPr>
            <w:tcW w:w="7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0"/>
              <w:jc w:val="right"/>
              <w:rPr>
                <w:color w:val="000000"/>
              </w:rPr>
            </w:pPr>
            <w:r>
              <w:rPr>
                <w:color w:val="000000"/>
              </w:rPr>
              <w:t>—</w:t>
            </w:r>
          </w:p>
        </w:tc>
        <w:tc>
          <w:tcPr>
            <w:tcW w:w="99" w:type="dxa"/>
            <w:tcBorders/>
            <w:vAlign w:val="bottom"/>
          </w:tcPr>
          <w:p>
            <w:pPr>
              <w:pStyle w:val="TableContents"/>
              <w:bidi w:val="0"/>
              <w:spacing w:before="0" w:after="283"/>
              <w:jc w:val="left"/>
              <w:rPr/>
            </w:pPr>
            <w:r>
              <w:rPr/>
              <w:t> </w:t>
            </w:r>
          </w:p>
        </w:tc>
      </w:tr>
      <w:tr>
        <w:trPr/>
        <w:tc>
          <w:tcPr>
            <w:tcW w:w="7278" w:type="dxa"/>
            <w:tcBorders/>
            <w:shd w:fill="CCEEFF" w:val="clear"/>
            <w:vAlign w:val="bottom"/>
          </w:tcPr>
          <w:p>
            <w:pPr>
              <w:pStyle w:val="TableContents"/>
              <w:bidi w:val="0"/>
              <w:spacing w:before="0" w:after="0"/>
              <w:ind w:left="144" w:right="0" w:hanging="144"/>
              <w:jc w:val="left"/>
              <w:rPr>
                <w:color w:val="000000"/>
              </w:rPr>
            </w:pPr>
            <w:r>
              <w:rPr>
                <w:color w:val="000000"/>
              </w:rPr>
              <w:t>Proceeds from issuance of common stock upon exercise of stock options</w:t>
            </w:r>
          </w:p>
        </w:tc>
        <w:tc>
          <w:tcPr>
            <w:tcW w:w="60" w:type="dxa"/>
            <w:tcBorders/>
            <w:shd w:fill="CCEEFF" w:val="clear"/>
            <w:vAlign w:val="bottom"/>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19"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104</w:t>
            </w:r>
          </w:p>
        </w:tc>
        <w:tc>
          <w:tcPr>
            <w:tcW w:w="99" w:type="dxa"/>
            <w:tcBorders/>
            <w:shd w:fill="CCEEFF" w:val="clear"/>
            <w:vAlign w:val="bottom"/>
          </w:tcPr>
          <w:p>
            <w:pPr>
              <w:pStyle w:val="TableContents"/>
              <w:bidi w:val="0"/>
              <w:spacing w:before="0" w:after="283"/>
              <w:jc w:val="left"/>
              <w:rPr/>
            </w:pPr>
            <w:r>
              <w:rPr/>
              <w:t> </w:t>
            </w:r>
          </w:p>
        </w:tc>
      </w:tr>
      <w:tr>
        <w:trPr/>
        <w:tc>
          <w:tcPr>
            <w:tcW w:w="7278" w:type="dxa"/>
            <w:tcBorders/>
            <w:vAlign w:val="bottom"/>
          </w:tcPr>
          <w:p>
            <w:pPr>
              <w:pStyle w:val="TableContents"/>
              <w:bidi w:val="0"/>
              <w:spacing w:before="0" w:after="0"/>
              <w:ind w:left="144" w:right="0" w:hanging="144"/>
              <w:jc w:val="left"/>
              <w:rPr>
                <w:color w:val="000000"/>
              </w:rPr>
            </w:pPr>
            <w:r>
              <w:rPr>
                <w:color w:val="000000"/>
              </w:rPr>
              <w:t>Net cash used in financing activities</w:t>
            </w:r>
          </w:p>
        </w:tc>
        <w:tc>
          <w:tcPr>
            <w:tcW w:w="60" w:type="dxa"/>
            <w:tcBorders/>
            <w:vAlign w:val="bottom"/>
          </w:tcPr>
          <w:p>
            <w:pPr>
              <w:pStyle w:val="TableContents"/>
              <w:bidi w:val="0"/>
              <w:spacing w:before="0" w:after="283"/>
              <w:jc w:val="left"/>
              <w:rPr/>
            </w:pPr>
            <w:r>
              <w:rPr/>
              <w:t> </w:t>
            </w:r>
          </w:p>
        </w:tc>
        <w:tc>
          <w:tcPr>
            <w:tcW w:w="177" w:type="dxa"/>
            <w:tcBorders>
              <w:bottom w:val="single" w:sz="12" w:space="0" w:color="000000"/>
            </w:tcBorders>
            <w:tcMar>
              <w:bottom w:w="28" w:type="dxa"/>
            </w:tcMar>
            <w:vAlign w:val="bottom"/>
          </w:tcPr>
          <w:p>
            <w:pPr>
              <w:pStyle w:val="TableContents"/>
              <w:bidi w:val="0"/>
              <w:spacing w:before="0" w:after="283"/>
              <w:jc w:val="left"/>
              <w:rPr/>
            </w:pPr>
            <w:r>
              <w:rPr/>
              <w:t> </w:t>
            </w:r>
          </w:p>
        </w:tc>
        <w:tc>
          <w:tcPr>
            <w:tcW w:w="11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(6,185</w:t>
            </w:r>
          </w:p>
        </w:tc>
        <w:tc>
          <w:tcPr>
            <w:tcW w:w="119" w:type="dxa"/>
            <w:tcBorders/>
            <w:vAlign w:val="bottom"/>
          </w:tcPr>
          <w:p>
            <w:pPr>
              <w:pStyle w:val="TableContents"/>
              <w:bidi w:val="0"/>
              <w:spacing w:before="0" w:after="0"/>
              <w:jc w:val="left"/>
              <w:rPr>
                <w:color w:val="000000"/>
              </w:rPr>
            </w:pPr>
            <w:r>
              <w:rPr>
                <w:color w:val="000000"/>
              </w:rPr>
              <w:t>)</w:t>
            </w:r>
          </w:p>
        </w:tc>
        <w:tc>
          <w:tcPr>
            <w:tcW w:w="75" w:type="dxa"/>
            <w:tcBorders/>
            <w:vAlign w:val="bottom"/>
          </w:tcPr>
          <w:p>
            <w:pPr>
              <w:pStyle w:val="TableContents"/>
              <w:bidi w:val="0"/>
              <w:spacing w:before="0" w:after="283"/>
              <w:jc w:val="left"/>
              <w:rPr/>
            </w:pPr>
            <w:r>
              <w:rPr/>
              <w:t> </w:t>
            </w:r>
          </w:p>
        </w:tc>
        <w:tc>
          <w:tcPr>
            <w:tcW w:w="177" w:type="dxa"/>
            <w:tcBorders>
              <w:bottom w:val="single" w:sz="12" w:space="0" w:color="000000"/>
            </w:tcBorders>
            <w:tcMar>
              <w:bottom w:w="28" w:type="dxa"/>
            </w:tcMar>
            <w:vAlign w:val="bottom"/>
          </w:tcPr>
          <w:p>
            <w:pPr>
              <w:pStyle w:val="TableContents"/>
              <w:bidi w:val="0"/>
              <w:spacing w:before="0" w:after="283"/>
              <w:jc w:val="left"/>
              <w:rPr/>
            </w:pPr>
            <w:r>
              <w:rPr/>
              <w:t> </w:t>
            </w:r>
          </w:p>
        </w:tc>
        <w:tc>
          <w:tcPr>
            <w:tcW w:w="11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(31</w:t>
            </w:r>
          </w:p>
        </w:tc>
        <w:tc>
          <w:tcPr>
            <w:tcW w:w="99" w:type="dxa"/>
            <w:tcBorders/>
            <w:vAlign w:val="bottom"/>
          </w:tcPr>
          <w:p>
            <w:pPr>
              <w:pStyle w:val="TableContents"/>
              <w:bidi w:val="0"/>
              <w:spacing w:before="0" w:after="0"/>
              <w:jc w:val="left"/>
              <w:rPr>
                <w:color w:val="000000"/>
              </w:rPr>
            </w:pPr>
            <w:r>
              <w:rPr>
                <w:color w:val="000000"/>
              </w:rPr>
              <w:t>)</w:t>
            </w:r>
          </w:p>
        </w:tc>
      </w:tr>
      <w:tr>
        <w:trPr/>
        <w:tc>
          <w:tcPr>
            <w:tcW w:w="7278" w:type="dxa"/>
            <w:tcBorders/>
            <w:shd w:fill="CCEEFF" w:val="clear"/>
            <w:vAlign w:val="bottom"/>
          </w:tcPr>
          <w:p>
            <w:pPr>
              <w:pStyle w:val="TableContents"/>
              <w:bidi w:val="0"/>
              <w:spacing w:before="0" w:after="0"/>
              <w:ind w:left="144" w:right="0" w:hanging="144"/>
              <w:jc w:val="left"/>
              <w:rPr>
                <w:color w:val="000000"/>
              </w:rPr>
            </w:pPr>
            <w:r>
              <w:rPr>
                <w:color w:val="000000"/>
              </w:rPr>
              <w:t>Effect of exchange rate changes on cash and cash equivalents and restricted cash</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0"/>
              <w:jc w:val="right"/>
              <w:rPr>
                <w:color w:val="000000"/>
              </w:rPr>
            </w:pPr>
            <w:r>
              <w:rPr>
                <w:color w:val="000000"/>
              </w:rPr>
              <w:t>(19</w:t>
            </w:r>
          </w:p>
        </w:tc>
        <w:tc>
          <w:tcPr>
            <w:tcW w:w="119" w:type="dxa"/>
            <w:tcBorders/>
            <w:shd w:fill="CCEEFF" w:val="clear"/>
            <w:vAlign w:val="bottom"/>
          </w:tcPr>
          <w:p>
            <w:pPr>
              <w:pStyle w:val="TableContents"/>
              <w:bidi w:val="0"/>
              <w:spacing w:before="0" w:after="0"/>
              <w:jc w:val="left"/>
              <w:rPr>
                <w:color w:val="000000"/>
              </w:rPr>
            </w:pPr>
            <w:r>
              <w:rPr>
                <w:color w:val="000000"/>
              </w:rPr>
              <w:t>)</w:t>
            </w:r>
          </w:p>
        </w:tc>
        <w:tc>
          <w:tcPr>
            <w:tcW w:w="7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0"/>
              <w:jc w:val="right"/>
              <w:rPr>
                <w:color w:val="000000"/>
              </w:rPr>
            </w:pPr>
            <w:r>
              <w:rPr>
                <w:color w:val="000000"/>
              </w:rPr>
              <w:t>64</w:t>
            </w:r>
          </w:p>
        </w:tc>
        <w:tc>
          <w:tcPr>
            <w:tcW w:w="99" w:type="dxa"/>
            <w:tcBorders/>
            <w:shd w:fill="CCEEFF" w:val="clear"/>
            <w:vAlign w:val="bottom"/>
          </w:tcPr>
          <w:p>
            <w:pPr>
              <w:pStyle w:val="TableContents"/>
              <w:bidi w:val="0"/>
              <w:spacing w:before="0" w:after="283"/>
              <w:jc w:val="left"/>
              <w:rPr/>
            </w:pPr>
            <w:r>
              <w:rPr/>
              <w:t> </w:t>
            </w:r>
          </w:p>
        </w:tc>
      </w:tr>
      <w:tr>
        <w:trPr/>
        <w:tc>
          <w:tcPr>
            <w:tcW w:w="7278" w:type="dxa"/>
            <w:tcBorders/>
            <w:vAlign w:val="bottom"/>
          </w:tcPr>
          <w:p>
            <w:pPr>
              <w:pStyle w:val="TableContents"/>
              <w:bidi w:val="0"/>
              <w:spacing w:before="0" w:after="0"/>
              <w:ind w:left="144" w:right="0" w:hanging="144"/>
              <w:jc w:val="left"/>
              <w:rPr>
                <w:color w:val="000000"/>
              </w:rPr>
            </w:pPr>
            <w:r>
              <w:rPr>
                <w:color w:val="000000"/>
              </w:rPr>
              <w:t>Net increase (decrease) in cash and cash equivalents</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0"/>
              <w:jc w:val="right"/>
              <w:rPr>
                <w:color w:val="000000"/>
              </w:rPr>
            </w:pPr>
            <w:r>
              <w:rPr>
                <w:color w:val="000000"/>
              </w:rPr>
              <w:t>7,351</w:t>
            </w:r>
          </w:p>
        </w:tc>
        <w:tc>
          <w:tcPr>
            <w:tcW w:w="119"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110" w:type="dxa"/>
            <w:tcBorders/>
            <w:vAlign w:val="bottom"/>
          </w:tcPr>
          <w:p>
            <w:pPr>
              <w:pStyle w:val="TableContents"/>
              <w:bidi w:val="0"/>
              <w:spacing w:before="0" w:after="0"/>
              <w:jc w:val="right"/>
              <w:rPr>
                <w:color w:val="000000"/>
              </w:rPr>
            </w:pPr>
            <w:r>
              <w:rPr>
                <w:color w:val="000000"/>
              </w:rPr>
              <w:t>(6,869</w:t>
            </w:r>
          </w:p>
        </w:tc>
        <w:tc>
          <w:tcPr>
            <w:tcW w:w="99" w:type="dxa"/>
            <w:tcBorders/>
            <w:vAlign w:val="bottom"/>
          </w:tcPr>
          <w:p>
            <w:pPr>
              <w:pStyle w:val="TableContents"/>
              <w:bidi w:val="0"/>
              <w:spacing w:before="0" w:after="0"/>
              <w:jc w:val="left"/>
              <w:rPr>
                <w:color w:val="000000"/>
              </w:rPr>
            </w:pPr>
            <w:r>
              <w:rPr>
                <w:color w:val="000000"/>
              </w:rPr>
              <w:t>)</w:t>
            </w:r>
          </w:p>
        </w:tc>
      </w:tr>
      <w:tr>
        <w:trPr/>
        <w:tc>
          <w:tcPr>
            <w:tcW w:w="7278" w:type="dxa"/>
            <w:tcBorders/>
            <w:shd w:fill="CCEEFF" w:val="clear"/>
            <w:vAlign w:val="bottom"/>
          </w:tcPr>
          <w:p>
            <w:pPr>
              <w:pStyle w:val="TableContents"/>
              <w:bidi w:val="0"/>
              <w:spacing w:before="0" w:after="0"/>
              <w:ind w:left="144" w:right="0" w:hanging="144"/>
              <w:jc w:val="left"/>
              <w:rPr>
                <w:color w:val="000000"/>
              </w:rPr>
            </w:pPr>
            <w:r>
              <w:rPr>
                <w:color w:val="000000"/>
              </w:rPr>
              <w:t>Cash, cash equivalents and restricted cash at beginning of period</w:t>
            </w:r>
          </w:p>
        </w:tc>
        <w:tc>
          <w:tcPr>
            <w:tcW w:w="60" w:type="dxa"/>
            <w:tcBorders/>
            <w:shd w:fill="CCEEFF" w:val="clear"/>
            <w:vAlign w:val="bottom"/>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87,676</w:t>
            </w:r>
          </w:p>
        </w:tc>
        <w:tc>
          <w:tcPr>
            <w:tcW w:w="119"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76,170</w:t>
            </w:r>
          </w:p>
        </w:tc>
        <w:tc>
          <w:tcPr>
            <w:tcW w:w="99" w:type="dxa"/>
            <w:tcBorders/>
            <w:shd w:fill="CCEEFF" w:val="clear"/>
            <w:vAlign w:val="bottom"/>
          </w:tcPr>
          <w:p>
            <w:pPr>
              <w:pStyle w:val="TableContents"/>
              <w:bidi w:val="0"/>
              <w:spacing w:before="0" w:after="283"/>
              <w:jc w:val="left"/>
              <w:rPr/>
            </w:pPr>
            <w:r>
              <w:rPr/>
              <w:t> </w:t>
            </w:r>
          </w:p>
        </w:tc>
      </w:tr>
      <w:tr>
        <w:trPr/>
        <w:tc>
          <w:tcPr>
            <w:tcW w:w="7278" w:type="dxa"/>
            <w:tcBorders/>
            <w:vAlign w:val="bottom"/>
          </w:tcPr>
          <w:p>
            <w:pPr>
              <w:pStyle w:val="TableContents"/>
              <w:bidi w:val="0"/>
              <w:spacing w:before="0" w:after="0"/>
              <w:ind w:left="144" w:right="0" w:hanging="144"/>
              <w:jc w:val="left"/>
              <w:rPr>
                <w:color w:val="000000"/>
              </w:rPr>
            </w:pPr>
            <w:r>
              <w:rPr>
                <w:color w:val="000000"/>
              </w:rPr>
              <w:t>Cash, cash equivalents and restricted cash at end of period</w:t>
            </w:r>
          </w:p>
        </w:tc>
        <w:tc>
          <w:tcPr>
            <w:tcW w:w="60" w:type="dxa"/>
            <w:tcBorders/>
            <w:vAlign w:val="bottom"/>
          </w:tcPr>
          <w:p>
            <w:pPr>
              <w:pStyle w:val="TableContents"/>
              <w:bidi w:val="0"/>
              <w:spacing w:before="0" w:after="283"/>
              <w:jc w:val="left"/>
              <w:rPr/>
            </w:pPr>
            <w:r>
              <w:rPr/>
              <w:t> </w:t>
            </w:r>
          </w:p>
        </w:tc>
        <w:tc>
          <w:tcPr>
            <w:tcW w:w="177"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1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95,027</w:t>
            </w:r>
          </w:p>
        </w:tc>
        <w:tc>
          <w:tcPr>
            <w:tcW w:w="119"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77"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1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69,301</w:t>
            </w:r>
          </w:p>
        </w:tc>
        <w:tc>
          <w:tcPr>
            <w:tcW w:w="99" w:type="dxa"/>
            <w:tcBorders/>
            <w:vAlign w:val="bottom"/>
          </w:tcPr>
          <w:p>
            <w:pPr>
              <w:pStyle w:val="TableContents"/>
              <w:bidi w:val="0"/>
              <w:spacing w:before="0" w:after="283"/>
              <w:jc w:val="left"/>
              <w:rPr/>
            </w:pPr>
            <w:r>
              <w:rPr/>
              <w:t> </w:t>
            </w:r>
          </w:p>
        </w:tc>
      </w:tr>
      <w:tr>
        <w:trPr/>
        <w:tc>
          <w:tcPr>
            <w:tcW w:w="7278" w:type="dxa"/>
            <w:tcBorders/>
            <w:shd w:fill="CCEEFF" w:val="clear"/>
            <w:vAlign w:val="bottom"/>
          </w:tcPr>
          <w:p>
            <w:pPr>
              <w:pStyle w:val="TableContents"/>
              <w:bidi w:val="0"/>
              <w:spacing w:before="0" w:after="0"/>
              <w:ind w:left="144" w:right="0" w:hanging="144"/>
              <w:jc w:val="left"/>
              <w:rPr>
                <w:b/>
                <w:color w:val="000000"/>
              </w:rPr>
            </w:pPr>
            <w:r>
              <w:rPr>
                <w:b/>
                <w:color w:val="000000"/>
              </w:rPr>
              <w:t>Reconciliation to amounts on the Condensed Consolidated Balance Sheets:</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 </w:t>
            </w:r>
          </w:p>
        </w:tc>
        <w:tc>
          <w:tcPr>
            <w:tcW w:w="99" w:type="dxa"/>
            <w:tcBorders/>
            <w:shd w:fill="CCEEFF" w:val="clear"/>
            <w:vAlign w:val="bottom"/>
          </w:tcPr>
          <w:p>
            <w:pPr>
              <w:pStyle w:val="TableContents"/>
              <w:bidi w:val="0"/>
              <w:spacing w:before="0" w:after="283"/>
              <w:jc w:val="left"/>
              <w:rPr/>
            </w:pPr>
            <w:r>
              <w:rPr/>
              <w:t> </w:t>
            </w:r>
          </w:p>
        </w:tc>
      </w:tr>
      <w:tr>
        <w:trPr/>
        <w:tc>
          <w:tcPr>
            <w:tcW w:w="7278" w:type="dxa"/>
            <w:tcBorders/>
            <w:vAlign w:val="bottom"/>
          </w:tcPr>
          <w:p>
            <w:pPr>
              <w:pStyle w:val="TableContents"/>
              <w:bidi w:val="0"/>
              <w:spacing w:before="0" w:after="0"/>
              <w:ind w:left="144" w:right="0" w:hanging="144"/>
              <w:jc w:val="left"/>
              <w:rPr>
                <w:color w:val="000000"/>
              </w:rPr>
            </w:pPr>
            <w:r>
              <w:rPr>
                <w:color w:val="000000"/>
              </w:rPr>
              <w:t>Cash and cash equivalents</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0"/>
              <w:jc w:val="left"/>
              <w:rPr>
                <w:color w:val="000000"/>
              </w:rPr>
            </w:pPr>
            <w:r>
              <w:rPr>
                <w:color w:val="000000"/>
              </w:rPr>
              <w:t>$</w:t>
            </w:r>
          </w:p>
        </w:tc>
        <w:tc>
          <w:tcPr>
            <w:tcW w:w="1110" w:type="dxa"/>
            <w:tcBorders/>
            <w:vAlign w:val="bottom"/>
          </w:tcPr>
          <w:p>
            <w:pPr>
              <w:pStyle w:val="TableContents"/>
              <w:bidi w:val="0"/>
              <w:spacing w:before="0" w:after="0"/>
              <w:jc w:val="right"/>
              <w:rPr>
                <w:color w:val="000000"/>
              </w:rPr>
            </w:pPr>
            <w:r>
              <w:rPr>
                <w:color w:val="000000"/>
              </w:rPr>
              <w:t>85,467</w:t>
            </w:r>
          </w:p>
        </w:tc>
        <w:tc>
          <w:tcPr>
            <w:tcW w:w="119"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0"/>
              <w:jc w:val="left"/>
              <w:rPr>
                <w:color w:val="000000"/>
              </w:rPr>
            </w:pPr>
            <w:r>
              <w:rPr>
                <w:color w:val="000000"/>
              </w:rPr>
              <w:t>$</w:t>
            </w:r>
          </w:p>
        </w:tc>
        <w:tc>
          <w:tcPr>
            <w:tcW w:w="1110" w:type="dxa"/>
            <w:tcBorders/>
            <w:vAlign w:val="bottom"/>
          </w:tcPr>
          <w:p>
            <w:pPr>
              <w:pStyle w:val="TableContents"/>
              <w:bidi w:val="0"/>
              <w:spacing w:before="0" w:after="0"/>
              <w:jc w:val="right"/>
              <w:rPr>
                <w:color w:val="000000"/>
              </w:rPr>
            </w:pPr>
            <w:r>
              <w:rPr>
                <w:color w:val="000000"/>
              </w:rPr>
              <w:t>60,183</w:t>
            </w:r>
          </w:p>
        </w:tc>
        <w:tc>
          <w:tcPr>
            <w:tcW w:w="99" w:type="dxa"/>
            <w:tcBorders/>
            <w:vAlign w:val="bottom"/>
          </w:tcPr>
          <w:p>
            <w:pPr>
              <w:pStyle w:val="TableContents"/>
              <w:bidi w:val="0"/>
              <w:spacing w:before="0" w:after="283"/>
              <w:jc w:val="left"/>
              <w:rPr/>
            </w:pPr>
            <w:r>
              <w:rPr/>
              <w:t> </w:t>
            </w:r>
          </w:p>
        </w:tc>
      </w:tr>
      <w:tr>
        <w:trPr/>
        <w:tc>
          <w:tcPr>
            <w:tcW w:w="7278" w:type="dxa"/>
            <w:tcBorders/>
            <w:shd w:fill="CCEEFF" w:val="clear"/>
            <w:vAlign w:val="bottom"/>
          </w:tcPr>
          <w:p>
            <w:pPr>
              <w:pStyle w:val="TableContents"/>
              <w:bidi w:val="0"/>
              <w:spacing w:before="0" w:after="0"/>
              <w:ind w:left="144" w:right="0" w:hanging="144"/>
              <w:jc w:val="left"/>
              <w:rPr>
                <w:color w:val="000000"/>
              </w:rPr>
            </w:pPr>
            <w:r>
              <w:rPr>
                <w:color w:val="000000"/>
              </w:rPr>
              <w:t>Restricted cash</w:t>
            </w:r>
          </w:p>
        </w:tc>
        <w:tc>
          <w:tcPr>
            <w:tcW w:w="60" w:type="dxa"/>
            <w:tcBorders/>
            <w:shd w:fill="CCEEFF" w:val="clear"/>
            <w:vAlign w:val="bottom"/>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9,560</w:t>
            </w:r>
          </w:p>
        </w:tc>
        <w:tc>
          <w:tcPr>
            <w:tcW w:w="119"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9,118</w:t>
            </w:r>
          </w:p>
        </w:tc>
        <w:tc>
          <w:tcPr>
            <w:tcW w:w="99" w:type="dxa"/>
            <w:tcBorders/>
            <w:shd w:fill="CCEEFF" w:val="clear"/>
            <w:vAlign w:val="bottom"/>
          </w:tcPr>
          <w:p>
            <w:pPr>
              <w:pStyle w:val="TableContents"/>
              <w:bidi w:val="0"/>
              <w:spacing w:before="0" w:after="283"/>
              <w:jc w:val="left"/>
              <w:rPr/>
            </w:pPr>
            <w:r>
              <w:rPr/>
              <w:t> </w:t>
            </w:r>
          </w:p>
        </w:tc>
      </w:tr>
      <w:tr>
        <w:trPr/>
        <w:tc>
          <w:tcPr>
            <w:tcW w:w="7278" w:type="dxa"/>
            <w:tcBorders/>
            <w:vAlign w:val="bottom"/>
          </w:tcPr>
          <w:p>
            <w:pPr>
              <w:pStyle w:val="TableContents"/>
              <w:bidi w:val="0"/>
              <w:spacing w:before="0" w:after="0"/>
              <w:ind w:left="504" w:right="0" w:hanging="144"/>
              <w:jc w:val="left"/>
              <w:rPr>
                <w:color w:val="000000"/>
              </w:rPr>
            </w:pPr>
            <w:r>
              <w:rPr>
                <w:color w:val="000000"/>
              </w:rPr>
              <w:t>Total cash, cash equivalents and restricted cash</w:t>
            </w:r>
          </w:p>
        </w:tc>
        <w:tc>
          <w:tcPr>
            <w:tcW w:w="60" w:type="dxa"/>
            <w:tcBorders/>
            <w:vAlign w:val="bottom"/>
          </w:tcPr>
          <w:p>
            <w:pPr>
              <w:pStyle w:val="TableContents"/>
              <w:bidi w:val="0"/>
              <w:spacing w:before="0" w:after="283"/>
              <w:jc w:val="left"/>
              <w:rPr/>
            </w:pPr>
            <w:r>
              <w:rPr/>
              <w:t> </w:t>
            </w:r>
          </w:p>
        </w:tc>
        <w:tc>
          <w:tcPr>
            <w:tcW w:w="177"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1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95,027</w:t>
            </w:r>
          </w:p>
        </w:tc>
        <w:tc>
          <w:tcPr>
            <w:tcW w:w="119"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77"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1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69,301</w:t>
            </w:r>
          </w:p>
        </w:tc>
        <w:tc>
          <w:tcPr>
            <w:tcW w:w="99" w:type="dxa"/>
            <w:tcBorders/>
            <w:vAlign w:val="bottom"/>
          </w:tcPr>
          <w:p>
            <w:pPr>
              <w:pStyle w:val="TableContents"/>
              <w:bidi w:val="0"/>
              <w:spacing w:before="0" w:after="283"/>
              <w:jc w:val="left"/>
              <w:rPr/>
            </w:pPr>
            <w:r>
              <w:rPr/>
              <w:t> </w:t>
            </w:r>
          </w:p>
        </w:tc>
      </w:tr>
      <w:tr>
        <w:trPr/>
        <w:tc>
          <w:tcPr>
            <w:tcW w:w="7278" w:type="dxa"/>
            <w:tcBorders/>
            <w:shd w:fill="CCEEFF" w:val="clear"/>
            <w:vAlign w:val="bottom"/>
          </w:tcPr>
          <w:p>
            <w:pPr>
              <w:pStyle w:val="TableContents"/>
              <w:bidi w:val="0"/>
              <w:spacing w:before="0" w:after="0"/>
              <w:ind w:left="144" w:right="0" w:hanging="144"/>
              <w:jc w:val="left"/>
              <w:rPr>
                <w:b/>
                <w:color w:val="000000"/>
              </w:rPr>
            </w:pPr>
            <w:r>
              <w:rPr>
                <w:b/>
                <w:color w:val="000000"/>
              </w:rPr>
              <w:t>Supplemental disclosures of noncash investing and financing activities:</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110" w:type="dxa"/>
            <w:tcBorders/>
            <w:shd w:fill="CCEEFF" w:val="clear"/>
            <w:vAlign w:val="bottom"/>
          </w:tcPr>
          <w:p>
            <w:pPr>
              <w:pStyle w:val="TableContents"/>
              <w:bidi w:val="0"/>
              <w:spacing w:before="0" w:after="283"/>
              <w:jc w:val="right"/>
              <w:rPr/>
            </w:pPr>
            <w:r>
              <w:rPr/>
              <w:t> </w:t>
            </w:r>
          </w:p>
        </w:tc>
        <w:tc>
          <w:tcPr>
            <w:tcW w:w="99" w:type="dxa"/>
            <w:tcBorders/>
            <w:shd w:fill="CCEEFF" w:val="clear"/>
            <w:vAlign w:val="bottom"/>
          </w:tcPr>
          <w:p>
            <w:pPr>
              <w:pStyle w:val="TableContents"/>
              <w:bidi w:val="0"/>
              <w:spacing w:before="0" w:after="283"/>
              <w:jc w:val="left"/>
              <w:rPr/>
            </w:pPr>
            <w:r>
              <w:rPr/>
              <w:t> </w:t>
            </w:r>
          </w:p>
        </w:tc>
      </w:tr>
      <w:tr>
        <w:trPr/>
        <w:tc>
          <w:tcPr>
            <w:tcW w:w="7278" w:type="dxa"/>
            <w:tcBorders/>
            <w:vAlign w:val="bottom"/>
          </w:tcPr>
          <w:p>
            <w:pPr>
              <w:pStyle w:val="TableContents"/>
              <w:bidi w:val="0"/>
              <w:spacing w:before="0" w:after="0"/>
              <w:ind w:left="144" w:right="0" w:hanging="144"/>
              <w:jc w:val="left"/>
              <w:rPr>
                <w:color w:val="000000"/>
              </w:rPr>
            </w:pPr>
            <w:r>
              <w:rPr>
                <w:color w:val="000000"/>
              </w:rPr>
              <w:t>Purchases of property and equipment in accounts payable and accrued expenses</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0"/>
              <w:jc w:val="left"/>
              <w:rPr>
                <w:color w:val="000000"/>
              </w:rPr>
            </w:pPr>
            <w:r>
              <w:rPr>
                <w:color w:val="000000"/>
              </w:rPr>
              <w:t>$</w:t>
            </w:r>
          </w:p>
        </w:tc>
        <w:tc>
          <w:tcPr>
            <w:tcW w:w="1110" w:type="dxa"/>
            <w:tcBorders/>
            <w:vAlign w:val="bottom"/>
          </w:tcPr>
          <w:p>
            <w:pPr>
              <w:pStyle w:val="TableContents"/>
              <w:bidi w:val="0"/>
              <w:spacing w:before="0" w:after="0"/>
              <w:jc w:val="right"/>
              <w:rPr>
                <w:color w:val="000000"/>
              </w:rPr>
            </w:pPr>
            <w:r>
              <w:rPr>
                <w:color w:val="000000"/>
              </w:rPr>
              <w:t>463</w:t>
            </w:r>
          </w:p>
        </w:tc>
        <w:tc>
          <w:tcPr>
            <w:tcW w:w="119"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0"/>
              <w:jc w:val="left"/>
              <w:rPr>
                <w:color w:val="000000"/>
              </w:rPr>
            </w:pPr>
            <w:r>
              <w:rPr>
                <w:color w:val="000000"/>
              </w:rPr>
              <w:t>$</w:t>
            </w:r>
          </w:p>
        </w:tc>
        <w:tc>
          <w:tcPr>
            <w:tcW w:w="1110" w:type="dxa"/>
            <w:tcBorders/>
            <w:vAlign w:val="bottom"/>
          </w:tcPr>
          <w:p>
            <w:pPr>
              <w:pStyle w:val="TableContents"/>
              <w:bidi w:val="0"/>
              <w:spacing w:before="0" w:after="0"/>
              <w:jc w:val="right"/>
              <w:rPr>
                <w:color w:val="000000"/>
              </w:rPr>
            </w:pPr>
            <w:r>
              <w:rPr>
                <w:color w:val="000000"/>
              </w:rPr>
              <w:t>26</w:t>
            </w:r>
          </w:p>
        </w:tc>
        <w:tc>
          <w:tcPr>
            <w:tcW w:w="99" w:type="dxa"/>
            <w:tcBorders/>
            <w:vAlign w:val="bottom"/>
          </w:tcPr>
          <w:p>
            <w:pPr>
              <w:pStyle w:val="TableContents"/>
              <w:bidi w:val="0"/>
              <w:spacing w:before="0" w:after="283"/>
              <w:jc w:val="left"/>
              <w:rPr/>
            </w:pPr>
            <w:r>
              <w:rPr/>
              <w:t> </w:t>
            </w:r>
          </w:p>
        </w:tc>
      </w:tr>
      <w:tr>
        <w:trPr/>
        <w:tc>
          <w:tcPr>
            <w:tcW w:w="7278" w:type="dxa"/>
            <w:tcBorders/>
            <w:shd w:fill="CCEEFF" w:val="clear"/>
            <w:vAlign w:val="bottom"/>
          </w:tcPr>
          <w:p>
            <w:pPr>
              <w:pStyle w:val="TableContents"/>
              <w:bidi w:val="0"/>
              <w:spacing w:before="0" w:after="0"/>
              <w:ind w:left="144" w:right="0" w:hanging="144"/>
              <w:jc w:val="left"/>
              <w:rPr>
                <w:color w:val="000000"/>
              </w:rPr>
            </w:pPr>
            <w:r>
              <w:rPr>
                <w:color w:val="000000"/>
              </w:rPr>
              <w:t>Unpaid deferred offering costs included in accounts payable and accrued expenses</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0"/>
              <w:jc w:val="left"/>
              <w:rPr>
                <w:color w:val="000000"/>
              </w:rPr>
            </w:pPr>
            <w:r>
              <w:rPr>
                <w:color w:val="000000"/>
              </w:rPr>
              <w:t>$</w:t>
            </w:r>
          </w:p>
        </w:tc>
        <w:tc>
          <w:tcPr>
            <w:tcW w:w="1110" w:type="dxa"/>
            <w:tcBorders/>
            <w:shd w:fill="CCEEFF" w:val="clear"/>
            <w:vAlign w:val="bottom"/>
          </w:tcPr>
          <w:p>
            <w:pPr>
              <w:pStyle w:val="TableContents"/>
              <w:bidi w:val="0"/>
              <w:spacing w:before="0" w:after="0"/>
              <w:jc w:val="right"/>
              <w:rPr>
                <w:color w:val="000000"/>
              </w:rPr>
            </w:pPr>
            <w:r>
              <w:rPr>
                <w:color w:val="000000"/>
              </w:rPr>
              <w:t>2,330</w:t>
            </w:r>
          </w:p>
        </w:tc>
        <w:tc>
          <w:tcPr>
            <w:tcW w:w="119"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0"/>
              <w:jc w:val="left"/>
              <w:rPr>
                <w:color w:val="000000"/>
              </w:rPr>
            </w:pPr>
            <w:r>
              <w:rPr>
                <w:color w:val="000000"/>
              </w:rPr>
              <w:t>$</w:t>
            </w:r>
          </w:p>
        </w:tc>
        <w:tc>
          <w:tcPr>
            <w:tcW w:w="1110" w:type="dxa"/>
            <w:tcBorders/>
            <w:shd w:fill="CCEEFF" w:val="clear"/>
            <w:vAlign w:val="bottom"/>
          </w:tcPr>
          <w:p>
            <w:pPr>
              <w:pStyle w:val="TableContents"/>
              <w:bidi w:val="0"/>
              <w:spacing w:before="0" w:after="0"/>
              <w:jc w:val="right"/>
              <w:rPr>
                <w:color w:val="000000"/>
              </w:rPr>
            </w:pPr>
            <w:r>
              <w:rPr>
                <w:color w:val="000000"/>
              </w:rPr>
              <w:t>—</w:t>
            </w:r>
          </w:p>
        </w:tc>
        <w:tc>
          <w:tcPr>
            <w:tcW w:w="99"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bookmarkStart w:id="27" w:name="Section9"/>
      <w:bookmarkEnd w:id="27"/>
      <w:r>
        <w:rPr>
          <w:rFonts w:ascii="Times New Roman" w:hAnsi="Times New Roman"/>
          <w:b/>
          <w:color w:val="000000"/>
          <w:sz w:val="20"/>
        </w:rPr>
        <w:t>FREENOME HOLDINGS,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Notes to the Condensed Consolidated Financial Statements (unaudited)</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Note 1—Organization and Summary of Significant Accounting Policies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Description of Business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Freenome Holdings, Inc. (together with its wholly-owned subsidiaries, the “Company”) is a biotechnology company pioneering an early cancer detection platform. The Company’s initial programs are focused on colorectal cancer with a pipeline of single-cancer and multi-cancer tests under development, including lung, breast, cervical, liver, pancreatic and esophageal cancers.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Company was incorporated in Delaware in 2016. The Company’s headquarters are located in Brisbane, California.</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Basis of Presentation and Principles of Consolidation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accompanying unaudited interim condensed consolidated financial statements have been prepared in accordance with United States generally accepted accounting principles (‘‘U.S. GAAP’’), pursuant to the rules and regulations of the Securities and Exchange Commission (“SEC”) for reporting interim financial information. Any reference in these notes to applicable accounting guidance is meant to refer to the authoritative U.S. GAAP included in the Accounting Standards Codifications (“ASCs”) and Accounting Standards Updates (“ASUs”) issued by the Financial Accounting Standards Board (“FASB”). The unaudited interim condensed consolidated financial statements include the accounts of the Company and its wholly owned subsidiaries. All intercompany balances and transactions have been eliminated in consolidation.</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condensed consolidated balance sheet as of December 31, 2025, included herein, was derived from the audited consolidated financial statements as of that date. Certain information and footnote disclosures typically included in the Company’s audited consolidated financial statements have been condensed or omitted. The accompanying unaudited interim condensed consolidated financial statements have been prepared on the same basis as the annual consolidated financial statements and reflect all adjustments of a normal and recurring nature that are necessary for the fair presentation of the Company’s financial position, results of operations, and cash flows for the periods presented, but are not necessarily indicative of results to be expected for any future annual or interim period. These unaudited interim condensed consolidated financial statements should be read in conjunction with the Company’s audited consolidated financial statements and footnotes for the year ended December 31, 2025, included in the proxy statement/prospectus filed with the SEC on June 17, 2026.</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preparation of unaudited interim condensed consolidated financial statements in conformity with U.S. GAAP requires the Company’s management to make estimates and assumptions that affect the reported amounts of assets and liabilities as of the date of the unaudited interim condensed consolidated financial statements, the reported amounts of revenue and expenses during the reported periods, and the accompanying notes. The Company bases its estimates and judgments on historical experience and on various other assumptions that the Company believes are reasonable under the circumstances. These estimates are based on management’s knowledge about current events and expectations about actions the Company may undertake in the future. Actual results could differ materially from those estimates.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These judgments, estimates and assumptions made by management include, but are not limited to, the determination of:</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z52e14df359214eddbba96d0439d69bc8"/>
      <w:bookmarkStart w:id="29" w:name="z52e14df359214eddbba96d0439d69bc8"/>
      <w:bookmarkEnd w:id="29"/>
    </w:p>
    <w:tbl>
      <w:tblPr>
        <w:tblW w:w="5523" w:type="dxa"/>
        <w:jc w:val="left"/>
        <w:tblInd w:w="0" w:type="dxa"/>
        <w:tblLayout w:type="fixed"/>
        <w:tblCellMar>
          <w:top w:w="0" w:type="dxa"/>
          <w:left w:w="0" w:type="dxa"/>
          <w:bottom w:w="0" w:type="dxa"/>
          <w:right w:w="0" w:type="dxa"/>
        </w:tblCellMar>
      </w:tblPr>
      <w:tblGrid>
        <w:gridCol w:w="38"/>
        <w:gridCol w:w="170"/>
        <w:gridCol w:w="531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5315" w:type="dxa"/>
            <w:tcBorders/>
            <w:vAlign w:val="center"/>
          </w:tcPr>
          <w:p>
            <w:pPr>
              <w:pStyle w:val="TableContents"/>
              <w:bidi w:val="0"/>
              <w:spacing w:before="0" w:after="0"/>
              <w:jc w:val="left"/>
              <w:rPr>
                <w:color w:val="000000"/>
              </w:rPr>
            </w:pPr>
            <w:r>
              <w:rPr>
                <w:color w:val="000000"/>
              </w:rPr>
              <w:t>fair value of the Company’s convertible preferred stock;</w:t>
            </w:r>
          </w:p>
        </w:tc>
      </w:tr>
    </w:tbl>
    <w:p>
      <w:pPr>
        <w:pStyle w:val="Normal"/>
        <w:bidi w:val="0"/>
        <w:spacing w:before="0" w:after="0"/>
        <w:jc w:val="left"/>
        <w:rPr>
          <w:sz w:val="4"/>
          <w:szCs w:val="4"/>
        </w:rPr>
      </w:pPr>
      <w:r>
        <w:rPr>
          <w:sz w:val="4"/>
          <w:szCs w:val="4"/>
        </w:rPr>
      </w:r>
      <w:bookmarkStart w:id="30" w:name="zfb12fcba00e44a0496ec2f3cbf0fdaf4"/>
      <w:bookmarkStart w:id="31" w:name="zfb12fcba00e44a0496ec2f3cbf0fdaf4"/>
      <w:bookmarkEnd w:id="31"/>
    </w:p>
    <w:tbl>
      <w:tblPr>
        <w:tblW w:w="4383" w:type="dxa"/>
        <w:jc w:val="left"/>
        <w:tblInd w:w="0" w:type="dxa"/>
        <w:tblLayout w:type="fixed"/>
        <w:tblCellMar>
          <w:top w:w="0" w:type="dxa"/>
          <w:left w:w="0" w:type="dxa"/>
          <w:bottom w:w="0" w:type="dxa"/>
          <w:right w:w="0" w:type="dxa"/>
        </w:tblCellMar>
      </w:tblPr>
      <w:tblGrid>
        <w:gridCol w:w="38"/>
        <w:gridCol w:w="170"/>
        <w:gridCol w:w="417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4175" w:type="dxa"/>
            <w:tcBorders/>
            <w:vAlign w:val="center"/>
          </w:tcPr>
          <w:p>
            <w:pPr>
              <w:pStyle w:val="TableContents"/>
              <w:bidi w:val="0"/>
              <w:spacing w:before="0" w:after="0"/>
              <w:jc w:val="left"/>
              <w:rPr>
                <w:color w:val="000000"/>
              </w:rPr>
            </w:pPr>
            <w:r>
              <w:rPr>
                <w:color w:val="000000"/>
              </w:rPr>
              <w:t>fair value of the Company’s common stock;</w:t>
            </w:r>
          </w:p>
        </w:tc>
      </w:tr>
    </w:tbl>
    <w:p>
      <w:pPr>
        <w:pStyle w:val="Normal"/>
        <w:bidi w:val="0"/>
        <w:spacing w:before="0" w:after="0"/>
        <w:jc w:val="left"/>
        <w:rPr>
          <w:sz w:val="4"/>
          <w:szCs w:val="4"/>
        </w:rPr>
      </w:pPr>
      <w:r>
        <w:rPr>
          <w:sz w:val="4"/>
          <w:szCs w:val="4"/>
        </w:rPr>
      </w:r>
      <w:bookmarkStart w:id="32" w:name="zdfe37d6943074b67ab699d4842bfe99b"/>
      <w:bookmarkStart w:id="33" w:name="zdfe37d6943074b67ab699d4842bfe99b"/>
      <w:bookmarkEnd w:id="33"/>
    </w:p>
    <w:tbl>
      <w:tblPr>
        <w:tblW w:w="5613" w:type="dxa"/>
        <w:jc w:val="left"/>
        <w:tblInd w:w="0" w:type="dxa"/>
        <w:tblLayout w:type="fixed"/>
        <w:tblCellMar>
          <w:top w:w="0" w:type="dxa"/>
          <w:left w:w="0" w:type="dxa"/>
          <w:bottom w:w="0" w:type="dxa"/>
          <w:right w:w="0" w:type="dxa"/>
        </w:tblCellMar>
      </w:tblPr>
      <w:tblGrid>
        <w:gridCol w:w="38"/>
        <w:gridCol w:w="170"/>
        <w:gridCol w:w="540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5405" w:type="dxa"/>
            <w:tcBorders/>
            <w:vAlign w:val="center"/>
          </w:tcPr>
          <w:p>
            <w:pPr>
              <w:pStyle w:val="TableContents"/>
              <w:bidi w:val="0"/>
              <w:spacing w:before="0" w:after="0"/>
              <w:jc w:val="left"/>
              <w:rPr>
                <w:color w:val="000000"/>
              </w:rPr>
            </w:pPr>
            <w:r>
              <w:rPr>
                <w:color w:val="000000"/>
              </w:rPr>
              <w:t>impairment assessment of goodwill and intangible assets;</w:t>
            </w:r>
          </w:p>
        </w:tc>
      </w:tr>
    </w:tbl>
    <w:p>
      <w:pPr>
        <w:pStyle w:val="Normal"/>
        <w:bidi w:val="0"/>
        <w:spacing w:before="0" w:after="0"/>
        <w:jc w:val="left"/>
        <w:rPr>
          <w:sz w:val="4"/>
          <w:szCs w:val="4"/>
        </w:rPr>
      </w:pPr>
      <w:r>
        <w:rPr>
          <w:sz w:val="4"/>
          <w:szCs w:val="4"/>
        </w:rPr>
      </w:r>
      <w:bookmarkStart w:id="34" w:name="z7117a6b005c14eb083a7030757066228"/>
      <w:bookmarkStart w:id="35" w:name="z7117a6b005c14eb083a7030757066228"/>
      <w:bookmarkEnd w:id="35"/>
    </w:p>
    <w:tbl>
      <w:tblPr>
        <w:tblW w:w="6093" w:type="dxa"/>
        <w:jc w:val="left"/>
        <w:tblInd w:w="0" w:type="dxa"/>
        <w:tblLayout w:type="fixed"/>
        <w:tblCellMar>
          <w:top w:w="0" w:type="dxa"/>
          <w:left w:w="0" w:type="dxa"/>
          <w:bottom w:w="0" w:type="dxa"/>
          <w:right w:w="0" w:type="dxa"/>
        </w:tblCellMar>
      </w:tblPr>
      <w:tblGrid>
        <w:gridCol w:w="38"/>
        <w:gridCol w:w="170"/>
        <w:gridCol w:w="588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5885" w:type="dxa"/>
            <w:tcBorders/>
            <w:vAlign w:val="center"/>
          </w:tcPr>
          <w:p>
            <w:pPr>
              <w:pStyle w:val="TableContents"/>
              <w:bidi w:val="0"/>
              <w:spacing w:before="0" w:after="0"/>
              <w:jc w:val="left"/>
              <w:rPr>
                <w:color w:val="000000"/>
              </w:rPr>
            </w:pPr>
            <w:r>
              <w:rPr>
                <w:color w:val="000000"/>
              </w:rPr>
              <w:t>impairment assessment and recoverability of long-lived assets;</w:t>
            </w:r>
          </w:p>
        </w:tc>
      </w:tr>
    </w:tbl>
    <w:p>
      <w:pPr>
        <w:pStyle w:val="Normal"/>
        <w:bidi w:val="0"/>
        <w:spacing w:before="0" w:after="0"/>
        <w:jc w:val="left"/>
        <w:rPr>
          <w:sz w:val="4"/>
          <w:szCs w:val="4"/>
        </w:rPr>
      </w:pPr>
      <w:r>
        <w:rPr>
          <w:sz w:val="4"/>
          <w:szCs w:val="4"/>
        </w:rPr>
      </w:r>
      <w:bookmarkStart w:id="36" w:name="z9c4ffb2d0b6e4acc9d859f008e2e6476"/>
      <w:bookmarkStart w:id="37" w:name="z9c4ffb2d0b6e4acc9d859f008e2e6476"/>
      <w:bookmarkEnd w:id="37"/>
    </w:p>
    <w:tbl>
      <w:tblPr>
        <w:tblW w:w="5913" w:type="dxa"/>
        <w:jc w:val="left"/>
        <w:tblInd w:w="0" w:type="dxa"/>
        <w:tblLayout w:type="fixed"/>
        <w:tblCellMar>
          <w:top w:w="0" w:type="dxa"/>
          <w:left w:w="0" w:type="dxa"/>
          <w:bottom w:w="0" w:type="dxa"/>
          <w:right w:w="0" w:type="dxa"/>
        </w:tblCellMar>
      </w:tblPr>
      <w:tblGrid>
        <w:gridCol w:w="38"/>
        <w:gridCol w:w="170"/>
        <w:gridCol w:w="570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5705" w:type="dxa"/>
            <w:tcBorders/>
            <w:vAlign w:val="center"/>
          </w:tcPr>
          <w:p>
            <w:pPr>
              <w:pStyle w:val="TableContents"/>
              <w:bidi w:val="0"/>
              <w:spacing w:before="0" w:after="0"/>
              <w:jc w:val="left"/>
              <w:rPr>
                <w:color w:val="000000"/>
              </w:rPr>
            </w:pPr>
            <w:r>
              <w:rPr>
                <w:color w:val="000000"/>
              </w:rPr>
              <w:t>stock-based compensation expense and related assumptions;</w:t>
            </w:r>
          </w:p>
        </w:tc>
      </w:tr>
    </w:tbl>
    <w:p>
      <w:pPr>
        <w:pStyle w:val="Normal"/>
        <w:bidi w:val="0"/>
        <w:spacing w:before="0" w:after="0"/>
        <w:jc w:val="left"/>
        <w:rPr>
          <w:sz w:val="4"/>
          <w:szCs w:val="4"/>
        </w:rPr>
      </w:pPr>
      <w:r>
        <w:rPr>
          <w:sz w:val="4"/>
          <w:szCs w:val="4"/>
        </w:rPr>
      </w:r>
      <w:bookmarkStart w:id="38" w:name="z03a56cf4878c4342abfe0855cb78e3aa"/>
      <w:bookmarkStart w:id="39" w:name="z03a56cf4878c4342abfe0855cb78e3aa"/>
      <w:bookmarkEnd w:id="39"/>
    </w:p>
    <w:tbl>
      <w:tblPr>
        <w:tblW w:w="7053" w:type="dxa"/>
        <w:jc w:val="left"/>
        <w:tblInd w:w="0" w:type="dxa"/>
        <w:tblLayout w:type="fixed"/>
        <w:tblCellMar>
          <w:top w:w="0" w:type="dxa"/>
          <w:left w:w="0" w:type="dxa"/>
          <w:bottom w:w="0" w:type="dxa"/>
          <w:right w:w="0" w:type="dxa"/>
        </w:tblCellMar>
      </w:tblPr>
      <w:tblGrid>
        <w:gridCol w:w="38"/>
        <w:gridCol w:w="170"/>
        <w:gridCol w:w="684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6845" w:type="dxa"/>
            <w:tcBorders/>
            <w:vAlign w:val="center"/>
          </w:tcPr>
          <w:p>
            <w:pPr>
              <w:pStyle w:val="TableContents"/>
              <w:bidi w:val="0"/>
              <w:spacing w:before="0" w:after="0"/>
              <w:jc w:val="left"/>
              <w:rPr>
                <w:color w:val="000000"/>
              </w:rPr>
            </w:pPr>
            <w:r>
              <w:rPr>
                <w:color w:val="000000"/>
              </w:rPr>
              <w:t>income tax uncertainties and valuation allowance for deferred tax assets;</w:t>
            </w:r>
          </w:p>
        </w:tc>
      </w:tr>
    </w:tbl>
    <w:p>
      <w:pPr>
        <w:pStyle w:val="Normal"/>
        <w:bidi w:val="0"/>
        <w:spacing w:before="0" w:after="0"/>
        <w:jc w:val="left"/>
        <w:rPr>
          <w:sz w:val="4"/>
          <w:szCs w:val="4"/>
        </w:rPr>
      </w:pPr>
      <w:r>
        <w:rPr>
          <w:sz w:val="4"/>
          <w:szCs w:val="4"/>
        </w:rPr>
      </w:r>
      <w:bookmarkStart w:id="40" w:name="zf58cf7f47c344210a0796c47ce66f4d8"/>
      <w:bookmarkStart w:id="41" w:name="zf58cf7f47c344210a0796c47ce66f4d8"/>
      <w:bookmarkEnd w:id="41"/>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left"/>
              <w:rPr>
                <w:color w:val="000000"/>
              </w:rPr>
            </w:pPr>
            <w:r>
              <w:rPr>
                <w:color w:val="000000"/>
              </w:rPr>
              <w:t>performance obligations within a contract and the determination of standalone selling price (“SSP”) for each performance obligation; and</w:t>
            </w:r>
          </w:p>
        </w:tc>
      </w:tr>
    </w:tbl>
    <w:p>
      <w:pPr>
        <w:pStyle w:val="Normal"/>
        <w:bidi w:val="0"/>
        <w:spacing w:before="0" w:after="0"/>
        <w:jc w:val="left"/>
        <w:rPr>
          <w:sz w:val="4"/>
          <w:szCs w:val="4"/>
        </w:rPr>
      </w:pPr>
      <w:r>
        <w:rPr>
          <w:sz w:val="4"/>
          <w:szCs w:val="4"/>
        </w:rPr>
      </w:r>
      <w:bookmarkStart w:id="42" w:name="ze0da655321ce40b6a611d1a0bb72e7df"/>
      <w:bookmarkStart w:id="43" w:name="ze0da655321ce40b6a611d1a0bb72e7df"/>
      <w:bookmarkEnd w:id="43"/>
    </w:p>
    <w:tbl>
      <w:tblPr>
        <w:tblW w:w="3798" w:type="dxa"/>
        <w:jc w:val="left"/>
        <w:tblInd w:w="0" w:type="dxa"/>
        <w:tblLayout w:type="fixed"/>
        <w:tblCellMar>
          <w:top w:w="0" w:type="dxa"/>
          <w:left w:w="0" w:type="dxa"/>
          <w:bottom w:w="0" w:type="dxa"/>
          <w:right w:w="0" w:type="dxa"/>
        </w:tblCellMar>
      </w:tblPr>
      <w:tblGrid>
        <w:gridCol w:w="38"/>
        <w:gridCol w:w="170"/>
        <w:gridCol w:w="359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3590" w:type="dxa"/>
            <w:tcBorders/>
            <w:vAlign w:val="center"/>
          </w:tcPr>
          <w:p>
            <w:pPr>
              <w:pStyle w:val="TableContents"/>
              <w:bidi w:val="0"/>
              <w:spacing w:before="0" w:after="0"/>
              <w:jc w:val="left"/>
              <w:rPr>
                <w:color w:val="000000"/>
              </w:rPr>
            </w:pPr>
            <w:r>
              <w:rPr>
                <w:color w:val="000000"/>
              </w:rPr>
              <w:t>the fair value of the convertible notes.</w:t>
            </w:r>
          </w:p>
        </w:tc>
      </w:tr>
    </w:tbl>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Summary of Significant Accounting Policies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significant accounting policies used by the Company in its presentation of interim financial results are consistent with those described in Note 2 to the Company’s audited consolidated financial statements for the year ended December 31, 2025, issued on March 30, 2026. During the six months ended June 30, 2026, there were no significant changes in the Company’s significant accounting policies from those disclosed in its consolidated financial statements for the year ended December 31, 2025.</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Company has incurred losses and negative cash flows from operations since its inception. During the six months ended June 30, 2026, the Company incurred a net loss of $132.6 million, used $97.1 million of cash in operations and had an accumulated deficit of $1.5 billion. As of June 30, 2026, the Company had approximately $102.0 million in cash, cash equivalents, and short-term marketable securities. Based on its current operating plan, the Company believes that its cash, cash equivalents, and short-term marketable securities as of June 30, 2026, together with the net proceeds of $295.5 million from the Business Combination with PCSC described in Note 17, will be sufficient to fund its anticipated operating expenses and capital expenditure requirements for at least the next 12 months from the date of issuance of these unaudited interim condensed consolidated financial statements.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Company expects to incur additional losses in the future and will be required to raise additional capital to</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further advance its research and development (“R&amp;D”) programs, prepare for potential regulatory submissions, commercialize tests that receive regulatory approval, if any, operate its business, and meet its financial obligations as they come due. If the Company has insufficient funding to meet its working capital needs, it could be required to modify, delay, or reduce the scope of, or terminate some of, its R&amp;D activities and/or limit or cease operations, which could harm its business, operating results, financial condition, and ability to achieve its intended business objectives. If the Company’s cash, cash equivalents, and marketable securities are not sufficient to enable the Company to fund its operations, the Company may need to raise additional funds through the sale of additional equity, debt financings, grants, or strategic alliances with third parties, which may be dilutive to existing stockholders. There can be no assurances that such funding sources will be available at terms acceptable to the Company, or at all.</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Risks and Uncertainties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Company is subject to risks and uncertainties common to companies in the biopharmaceutical and diagnostic test industries, including, but not limited to, risks associated with failure or unsatisfactory results of nonclinical and clinical studies, the need for significant capital to fund clinical trials and development of its diagnostic test candidates, dependence on strategic relationships with collaboration partners and key personnel, the ability to develop, secure, and protect proprietary technology rights, compliance with government regulations, the development of technological innovations by competitors, and dependence on third-party service providers.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Company relies on a limited number of third-party manufacturers and service providers, some of whom are sole suppliers or service providers, for a portion of the components, accessories, reagents, materials, and equipment that it uses in its operations. A disruption or interruption in supply from these suppliers, or in the operations of such suppliers, would negatively impact the Company’s business, supply chain, and laboratory operations.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Company’s business and operations may be affected by worldwide economic conditions, which may continue to be impacted by global macroeconomic challenges, such as the effects of the ongoing geopolitical conflicts, tariffs, and uncertainty in the financial markets, including disruptions in the banking industry and inflationary trends.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Recently Issued Accounting Standards Not Yet Adopted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In November 2024, the Financial Accounting Standards Board (FASB) issued ASU 2024-03, </w:t>
      </w:r>
      <w:r>
        <w:rPr>
          <w:rFonts w:ascii="Times New Roman" w:hAnsi="Times New Roman"/>
          <w:i/>
          <w:color w:val="000000"/>
          <w:sz w:val="20"/>
        </w:rPr>
        <w:t>Income Statement (Subtopic 220-40): Reporting Comprehensive Income - Expense Disaggregation Disclosures</w:t>
      </w:r>
      <w:r>
        <w:rPr>
          <w:rFonts w:ascii="Times New Roman" w:hAnsi="Times New Roman"/>
          <w:color w:val="000000"/>
          <w:sz w:val="20"/>
        </w:rPr>
        <w:t>, which requires an entity to disclose on an annual and interim basis, disaggregated information about specific income statement expense categories. The standard will be effective for annual reporting periods beginning after December 15, 2026, and interim reporting periods beginning after December 15, 2027, with early adoption permitted. The guidance should be applied prospectively with the option to apply the standard retrospectively. The Company is currently evaluating the disclosure requirements related to this new standard.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May 2025, the FASB issued ASU No. 2025-03</w:t>
      </w:r>
      <w:r>
        <w:rPr>
          <w:rFonts w:ascii="Times New Roman" w:hAnsi="Times New Roman"/>
          <w:i/>
          <w:color w:val="000000"/>
          <w:sz w:val="20"/>
        </w:rPr>
        <w:t xml:space="preserve">, Determining the Accounting Acquirer in the Acquisition of a Variable Interest Entity, </w:t>
      </w:r>
      <w:r>
        <w:rPr>
          <w:rFonts w:ascii="Times New Roman" w:hAnsi="Times New Roman"/>
          <w:color w:val="000000"/>
          <w:sz w:val="20"/>
        </w:rPr>
        <w:t>which revises current guidance for determining the accounting acquirer for a transaction effected primarily by exchanging equity interests in which the legal acquiree is a variable interest entity that meets the definition of a business. The amendments require that an entity consider the same factors that are currently required for determining which entity is the accounting acquirer in other acquisition transactions. The standard is effective for annual reporting periods beginning after December 15, 2026, and interim reporting periods within those annual reporting periods, with early adoption permitted. The standard is required to be applied prospectively. The Company is evaluating adoption timing and the impact the standard will have on its financial statements and related disclosures.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In December 2025, the FASB issued ASU 2025-11, </w:t>
      </w:r>
      <w:r>
        <w:rPr>
          <w:rFonts w:ascii="Times New Roman" w:hAnsi="Times New Roman"/>
          <w:i/>
          <w:color w:val="000000"/>
          <w:sz w:val="20"/>
        </w:rPr>
        <w:t>Interim Reporting (Topic 270): Narrow-Scope Improvements</w:t>
      </w:r>
      <w:r>
        <w:rPr>
          <w:rFonts w:ascii="Times New Roman" w:hAnsi="Times New Roman"/>
          <w:color w:val="000000"/>
          <w:sz w:val="20"/>
        </w:rPr>
        <w:t>. ASU 2025-11 improves clarity for interim financial reporting requirements under the existing guidance within ASC 270, Interim Reporting. ASU 2025-11 is effective for public entities with annual periods beginning after December 15, 2027, with early adoption permitted. The Company is currently evaluating the impact of ASU 2025-11 on its financial statements and related disclosures.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Note 2—Certain Balance Sheet Components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Cash, Cash Equivalents, and Restricted Cash</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Cash and cash equivalents include cash deposits in banks and highly liquid investments that are readily convertible to cash (maturity of three months or less at the time of purchase).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Restricted cash consists of funds held or designated to satisfy the requirements of certain agreements that are restricted in their use. As of June 30, 2026 and December 31, 2025, the Company’s restricted cash consisted of cash deposits required to support irrevocable standby letters of credit provided to the landlord pursuant to certain lease agreements. The Company determines current or non-current classification of restricted cash on the consolidated balance sheets based on the expected duration of the restriction. The Company’s restricted cash totaled $9.6 million and $9.1 million at June 30, 2026, and December 31, 2025, respectively.</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Property and Equipment</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Property and equipment, net consists of the following (in thousands):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4" w:name="z1aa38951ff4c44f0adf4c0fcd9a83104"/>
      <w:bookmarkStart w:id="45" w:name="z1aa38951ff4c44f0adf4c0fcd9a83104"/>
      <w:bookmarkEnd w:id="45"/>
    </w:p>
    <w:tbl>
      <w:tblPr>
        <w:tblW w:w="8289" w:type="dxa"/>
        <w:jc w:val="left"/>
        <w:tblInd w:w="0" w:type="dxa"/>
        <w:tblLayout w:type="fixed"/>
        <w:tblCellMar>
          <w:top w:w="0" w:type="dxa"/>
          <w:left w:w="0" w:type="dxa"/>
          <w:bottom w:w="0" w:type="dxa"/>
          <w:right w:w="0" w:type="dxa"/>
        </w:tblCellMar>
      </w:tblPr>
      <w:tblGrid>
        <w:gridCol w:w="4610"/>
        <w:gridCol w:w="60"/>
        <w:gridCol w:w="210"/>
        <w:gridCol w:w="1204"/>
        <w:gridCol w:w="95"/>
        <w:gridCol w:w="60"/>
        <w:gridCol w:w="291"/>
        <w:gridCol w:w="1664"/>
        <w:gridCol w:w="95"/>
      </w:tblGrid>
      <w:tr>
        <w:trPr/>
        <w:tc>
          <w:tcPr>
            <w:tcW w:w="46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June 30, 2026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 2025</w:t>
            </w:r>
          </w:p>
        </w:tc>
        <w:tc>
          <w:tcPr>
            <w:tcW w:w="95" w:type="dxa"/>
            <w:tcBorders/>
            <w:vAlign w:val="bottom"/>
          </w:tcPr>
          <w:p>
            <w:pPr>
              <w:pStyle w:val="TableContents"/>
              <w:bidi w:val="0"/>
              <w:spacing w:before="0" w:after="283"/>
              <w:jc w:val="left"/>
              <w:rPr/>
            </w:pPr>
            <w:r>
              <w:rPr/>
              <w:t> </w:t>
            </w:r>
          </w:p>
        </w:tc>
      </w:tr>
      <w:tr>
        <w:trPr/>
        <w:tc>
          <w:tcPr>
            <w:tcW w:w="4610" w:type="dxa"/>
            <w:tcBorders/>
            <w:shd w:fill="CCEEFF" w:val="clear"/>
            <w:vAlign w:val="bottom"/>
          </w:tcPr>
          <w:p>
            <w:pPr>
              <w:pStyle w:val="TableContents"/>
              <w:bidi w:val="0"/>
              <w:spacing w:before="0" w:after="0"/>
              <w:ind w:left="144" w:right="0" w:hanging="144"/>
              <w:jc w:val="left"/>
              <w:rPr>
                <w:color w:val="000000"/>
              </w:rPr>
            </w:pPr>
            <w:r>
              <w:rPr>
                <w:color w:val="000000"/>
              </w:rPr>
              <w:t>Leasehold improvements</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0"/>
              <w:jc w:val="left"/>
              <w:rPr>
                <w:color w:val="000000"/>
              </w:rPr>
            </w:pPr>
            <w:r>
              <w:rPr>
                <w:color w:val="000000"/>
              </w:rPr>
              <w:t>$</w:t>
            </w:r>
          </w:p>
        </w:tc>
        <w:tc>
          <w:tcPr>
            <w:tcW w:w="1204" w:type="dxa"/>
            <w:tcBorders/>
            <w:shd w:fill="CCEEFF" w:val="clear"/>
            <w:vAlign w:val="bottom"/>
          </w:tcPr>
          <w:p>
            <w:pPr>
              <w:pStyle w:val="TableContents"/>
              <w:bidi w:val="0"/>
              <w:spacing w:before="0" w:after="0"/>
              <w:jc w:val="right"/>
              <w:rPr>
                <w:color w:val="000000"/>
              </w:rPr>
            </w:pPr>
            <w:r>
              <w:rPr>
                <w:color w:val="000000"/>
              </w:rPr>
              <w:t>147,924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0"/>
              <w:jc w:val="left"/>
              <w:rPr>
                <w:color w:val="000000"/>
              </w:rPr>
            </w:pPr>
            <w:r>
              <w:rPr>
                <w:color w:val="000000"/>
              </w:rPr>
              <w:t>$</w:t>
            </w:r>
          </w:p>
        </w:tc>
        <w:tc>
          <w:tcPr>
            <w:tcW w:w="1664" w:type="dxa"/>
            <w:tcBorders/>
            <w:shd w:fill="CCEEFF" w:val="clear"/>
            <w:vAlign w:val="bottom"/>
          </w:tcPr>
          <w:p>
            <w:pPr>
              <w:pStyle w:val="TableContents"/>
              <w:bidi w:val="0"/>
              <w:spacing w:before="0" w:after="0"/>
              <w:jc w:val="right"/>
              <w:rPr>
                <w:color w:val="000000"/>
              </w:rPr>
            </w:pPr>
            <w:r>
              <w:rPr>
                <w:color w:val="000000"/>
              </w:rPr>
              <w:t>147,924</w:t>
            </w:r>
          </w:p>
        </w:tc>
        <w:tc>
          <w:tcPr>
            <w:tcW w:w="95" w:type="dxa"/>
            <w:tcBorders/>
            <w:shd w:fill="CCEEFF" w:val="clear"/>
            <w:vAlign w:val="bottom"/>
          </w:tcPr>
          <w:p>
            <w:pPr>
              <w:pStyle w:val="TableContents"/>
              <w:bidi w:val="0"/>
              <w:spacing w:before="0" w:after="283"/>
              <w:jc w:val="left"/>
              <w:rPr/>
            </w:pPr>
            <w:r>
              <w:rPr/>
              <w:t> </w:t>
            </w:r>
          </w:p>
        </w:tc>
      </w:tr>
      <w:tr>
        <w:trPr/>
        <w:tc>
          <w:tcPr>
            <w:tcW w:w="4610" w:type="dxa"/>
            <w:tcBorders/>
            <w:vAlign w:val="bottom"/>
          </w:tcPr>
          <w:p>
            <w:pPr>
              <w:pStyle w:val="TableContents"/>
              <w:bidi w:val="0"/>
              <w:spacing w:before="0" w:after="0"/>
              <w:ind w:left="144" w:right="0" w:hanging="144"/>
              <w:jc w:val="left"/>
              <w:rPr>
                <w:color w:val="000000"/>
              </w:rPr>
            </w:pPr>
            <w:r>
              <w:rPr>
                <w:color w:val="000000"/>
              </w:rPr>
              <w:t>Laboratory machinery and equipment</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0"/>
              <w:jc w:val="right"/>
              <w:rPr>
                <w:color w:val="000000"/>
              </w:rPr>
            </w:pPr>
            <w:r>
              <w:rPr>
                <w:color w:val="000000"/>
              </w:rPr>
              <w:t>43,751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664" w:type="dxa"/>
            <w:tcBorders/>
            <w:vAlign w:val="bottom"/>
          </w:tcPr>
          <w:p>
            <w:pPr>
              <w:pStyle w:val="TableContents"/>
              <w:bidi w:val="0"/>
              <w:spacing w:before="0" w:after="0"/>
              <w:jc w:val="right"/>
              <w:rPr>
                <w:color w:val="000000"/>
              </w:rPr>
            </w:pPr>
            <w:r>
              <w:rPr>
                <w:color w:val="000000"/>
              </w:rPr>
              <w:t>40,669</w:t>
            </w:r>
          </w:p>
        </w:tc>
        <w:tc>
          <w:tcPr>
            <w:tcW w:w="95" w:type="dxa"/>
            <w:tcBorders/>
            <w:vAlign w:val="bottom"/>
          </w:tcPr>
          <w:p>
            <w:pPr>
              <w:pStyle w:val="TableContents"/>
              <w:bidi w:val="0"/>
              <w:spacing w:before="0" w:after="283"/>
              <w:jc w:val="left"/>
              <w:rPr/>
            </w:pPr>
            <w:r>
              <w:rPr/>
              <w:t> </w:t>
            </w:r>
          </w:p>
        </w:tc>
      </w:tr>
      <w:tr>
        <w:trPr/>
        <w:tc>
          <w:tcPr>
            <w:tcW w:w="4610" w:type="dxa"/>
            <w:tcBorders/>
            <w:shd w:fill="CCEEFF" w:val="clear"/>
            <w:vAlign w:val="bottom"/>
          </w:tcPr>
          <w:p>
            <w:pPr>
              <w:pStyle w:val="TableContents"/>
              <w:bidi w:val="0"/>
              <w:spacing w:before="0" w:after="0"/>
              <w:ind w:left="144" w:right="0" w:hanging="144"/>
              <w:jc w:val="left"/>
              <w:rPr>
                <w:color w:val="000000"/>
              </w:rPr>
            </w:pPr>
            <w:r>
              <w:rPr>
                <w:color w:val="000000"/>
              </w:rPr>
              <w:t>Machinery and equipment</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0"/>
              <w:jc w:val="right"/>
              <w:rPr>
                <w:color w:val="000000"/>
              </w:rPr>
            </w:pPr>
            <w:r>
              <w:rPr>
                <w:color w:val="000000"/>
              </w:rPr>
              <w:t>7,514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664" w:type="dxa"/>
            <w:tcBorders/>
            <w:shd w:fill="CCEEFF" w:val="clear"/>
            <w:vAlign w:val="bottom"/>
          </w:tcPr>
          <w:p>
            <w:pPr>
              <w:pStyle w:val="TableContents"/>
              <w:bidi w:val="0"/>
              <w:spacing w:before="0" w:after="0"/>
              <w:jc w:val="right"/>
              <w:rPr>
                <w:color w:val="000000"/>
              </w:rPr>
            </w:pPr>
            <w:r>
              <w:rPr>
                <w:color w:val="000000"/>
              </w:rPr>
              <w:t>7,514</w:t>
            </w:r>
          </w:p>
        </w:tc>
        <w:tc>
          <w:tcPr>
            <w:tcW w:w="95" w:type="dxa"/>
            <w:tcBorders/>
            <w:shd w:fill="CCEEFF" w:val="clear"/>
            <w:vAlign w:val="bottom"/>
          </w:tcPr>
          <w:p>
            <w:pPr>
              <w:pStyle w:val="TableContents"/>
              <w:bidi w:val="0"/>
              <w:spacing w:before="0" w:after="283"/>
              <w:jc w:val="left"/>
              <w:rPr/>
            </w:pPr>
            <w:r>
              <w:rPr/>
              <w:t> </w:t>
            </w:r>
          </w:p>
        </w:tc>
      </w:tr>
      <w:tr>
        <w:trPr/>
        <w:tc>
          <w:tcPr>
            <w:tcW w:w="4610" w:type="dxa"/>
            <w:tcBorders/>
            <w:vAlign w:val="bottom"/>
          </w:tcPr>
          <w:p>
            <w:pPr>
              <w:pStyle w:val="TableContents"/>
              <w:bidi w:val="0"/>
              <w:spacing w:before="0" w:after="0"/>
              <w:ind w:left="144" w:right="0" w:hanging="144"/>
              <w:jc w:val="left"/>
              <w:rPr>
                <w:color w:val="000000"/>
              </w:rPr>
            </w:pPr>
            <w:r>
              <w:rPr>
                <w:color w:val="000000"/>
              </w:rPr>
              <w:t>Computer hardware and software</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0"/>
              <w:jc w:val="right"/>
              <w:rPr>
                <w:color w:val="000000"/>
              </w:rPr>
            </w:pPr>
            <w:r>
              <w:rPr>
                <w:color w:val="000000"/>
              </w:rPr>
              <w:t>4,925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664" w:type="dxa"/>
            <w:tcBorders/>
            <w:vAlign w:val="bottom"/>
          </w:tcPr>
          <w:p>
            <w:pPr>
              <w:pStyle w:val="TableContents"/>
              <w:bidi w:val="0"/>
              <w:spacing w:before="0" w:after="0"/>
              <w:jc w:val="right"/>
              <w:rPr>
                <w:color w:val="000000"/>
              </w:rPr>
            </w:pPr>
            <w:r>
              <w:rPr>
                <w:color w:val="000000"/>
              </w:rPr>
              <w:t>4,905</w:t>
            </w:r>
          </w:p>
        </w:tc>
        <w:tc>
          <w:tcPr>
            <w:tcW w:w="95" w:type="dxa"/>
            <w:tcBorders/>
            <w:vAlign w:val="bottom"/>
          </w:tcPr>
          <w:p>
            <w:pPr>
              <w:pStyle w:val="TableContents"/>
              <w:bidi w:val="0"/>
              <w:spacing w:before="0" w:after="283"/>
              <w:jc w:val="left"/>
              <w:rPr/>
            </w:pPr>
            <w:r>
              <w:rPr/>
              <w:t> </w:t>
            </w:r>
          </w:p>
        </w:tc>
      </w:tr>
      <w:tr>
        <w:trPr/>
        <w:tc>
          <w:tcPr>
            <w:tcW w:w="4610" w:type="dxa"/>
            <w:tcBorders/>
            <w:shd w:fill="CCEEFF" w:val="clear"/>
            <w:vAlign w:val="bottom"/>
          </w:tcPr>
          <w:p>
            <w:pPr>
              <w:pStyle w:val="TableContents"/>
              <w:bidi w:val="0"/>
              <w:spacing w:before="0" w:after="0"/>
              <w:ind w:left="144" w:right="0" w:hanging="144"/>
              <w:jc w:val="left"/>
              <w:rPr>
                <w:color w:val="000000"/>
              </w:rPr>
            </w:pPr>
            <w:r>
              <w:rPr>
                <w:color w:val="000000"/>
              </w:rPr>
              <w:t>Furniture and fixtures</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0"/>
              <w:jc w:val="right"/>
              <w:rPr>
                <w:color w:val="000000"/>
              </w:rPr>
            </w:pPr>
            <w:r>
              <w:rPr>
                <w:color w:val="000000"/>
              </w:rPr>
              <w:t>4,140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664" w:type="dxa"/>
            <w:tcBorders/>
            <w:shd w:fill="CCEEFF" w:val="clear"/>
            <w:vAlign w:val="bottom"/>
          </w:tcPr>
          <w:p>
            <w:pPr>
              <w:pStyle w:val="TableContents"/>
              <w:bidi w:val="0"/>
              <w:spacing w:before="0" w:after="0"/>
              <w:jc w:val="right"/>
              <w:rPr>
                <w:color w:val="000000"/>
              </w:rPr>
            </w:pPr>
            <w:r>
              <w:rPr>
                <w:color w:val="000000"/>
              </w:rPr>
              <w:t>4,140</w:t>
            </w:r>
          </w:p>
        </w:tc>
        <w:tc>
          <w:tcPr>
            <w:tcW w:w="95" w:type="dxa"/>
            <w:tcBorders/>
            <w:shd w:fill="CCEEFF" w:val="clear"/>
            <w:vAlign w:val="bottom"/>
          </w:tcPr>
          <w:p>
            <w:pPr>
              <w:pStyle w:val="TableContents"/>
              <w:bidi w:val="0"/>
              <w:spacing w:before="0" w:after="283"/>
              <w:jc w:val="left"/>
              <w:rPr/>
            </w:pPr>
            <w:r>
              <w:rPr/>
              <w:t> </w:t>
            </w:r>
          </w:p>
        </w:tc>
      </w:tr>
      <w:tr>
        <w:trPr/>
        <w:tc>
          <w:tcPr>
            <w:tcW w:w="4610" w:type="dxa"/>
            <w:tcBorders/>
            <w:vAlign w:val="bottom"/>
          </w:tcPr>
          <w:p>
            <w:pPr>
              <w:pStyle w:val="TableContents"/>
              <w:bidi w:val="0"/>
              <w:spacing w:before="0" w:after="0"/>
              <w:ind w:left="144" w:right="0" w:hanging="144"/>
              <w:jc w:val="left"/>
              <w:rPr>
                <w:color w:val="000000"/>
              </w:rPr>
            </w:pPr>
            <w:r>
              <w:rPr>
                <w:color w:val="000000"/>
              </w:rPr>
              <w:t>Construction in progress</w:t>
            </w:r>
          </w:p>
        </w:tc>
        <w:tc>
          <w:tcPr>
            <w:tcW w:w="60" w:type="dxa"/>
            <w:tcBorders/>
            <w:vAlign w:val="bottom"/>
          </w:tcPr>
          <w:p>
            <w:pPr>
              <w:pStyle w:val="TableContents"/>
              <w:bidi w:val="0"/>
              <w:spacing w:before="0" w:after="283"/>
              <w:jc w:val="left"/>
              <w:rPr/>
            </w:pPr>
            <w:r>
              <w:rPr/>
              <w:t> </w:t>
            </w:r>
          </w:p>
        </w:tc>
        <w:tc>
          <w:tcPr>
            <w:tcW w:w="21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0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9,965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1" w:type="dxa"/>
            <w:tcBorders>
              <w:bottom w:val="single" w:sz="12" w:space="0" w:color="000000"/>
            </w:tcBorders>
            <w:tcMar>
              <w:bottom w:w="28" w:type="dxa"/>
            </w:tcMar>
            <w:vAlign w:val="bottom"/>
          </w:tcPr>
          <w:p>
            <w:pPr>
              <w:pStyle w:val="TableContents"/>
              <w:bidi w:val="0"/>
              <w:spacing w:before="0" w:after="283"/>
              <w:jc w:val="left"/>
              <w:rPr/>
            </w:pPr>
            <w:r>
              <w:rPr/>
              <w:t> </w:t>
            </w:r>
          </w:p>
        </w:tc>
        <w:tc>
          <w:tcPr>
            <w:tcW w:w="166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847</w:t>
            </w:r>
          </w:p>
        </w:tc>
        <w:tc>
          <w:tcPr>
            <w:tcW w:w="95" w:type="dxa"/>
            <w:tcBorders/>
            <w:vAlign w:val="bottom"/>
          </w:tcPr>
          <w:p>
            <w:pPr>
              <w:pStyle w:val="TableContents"/>
              <w:bidi w:val="0"/>
              <w:spacing w:before="0" w:after="283"/>
              <w:jc w:val="left"/>
              <w:rPr/>
            </w:pPr>
            <w:r>
              <w:rPr/>
              <w:t> </w:t>
            </w:r>
          </w:p>
        </w:tc>
      </w:tr>
      <w:tr>
        <w:trPr/>
        <w:tc>
          <w:tcPr>
            <w:tcW w:w="4610" w:type="dxa"/>
            <w:tcBorders/>
            <w:shd w:fill="CCEEFF" w:val="clear"/>
            <w:vAlign w:val="bottom"/>
          </w:tcPr>
          <w:p>
            <w:pPr>
              <w:pStyle w:val="TableContents"/>
              <w:bidi w:val="0"/>
              <w:spacing w:before="0" w:after="0"/>
              <w:ind w:left="180" w:right="0" w:hanging="0"/>
              <w:jc w:val="left"/>
              <w:rPr>
                <w:color w:val="000000"/>
              </w:rPr>
            </w:pPr>
            <w:r>
              <w:rPr>
                <w:color w:val="000000"/>
              </w:rPr>
              <w:t>Subtotal</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0"/>
              <w:jc w:val="right"/>
              <w:rPr>
                <w:color w:val="000000"/>
              </w:rPr>
            </w:pPr>
            <w:r>
              <w:rPr>
                <w:color w:val="000000"/>
              </w:rPr>
              <w:t>218,219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664" w:type="dxa"/>
            <w:tcBorders/>
            <w:shd w:fill="CCEEFF" w:val="clear"/>
            <w:vAlign w:val="bottom"/>
          </w:tcPr>
          <w:p>
            <w:pPr>
              <w:pStyle w:val="TableContents"/>
              <w:bidi w:val="0"/>
              <w:spacing w:before="0" w:after="0"/>
              <w:jc w:val="right"/>
              <w:rPr>
                <w:color w:val="000000"/>
              </w:rPr>
            </w:pPr>
            <w:r>
              <w:rPr>
                <w:color w:val="000000"/>
              </w:rPr>
              <w:t>205,999</w:t>
            </w:r>
          </w:p>
        </w:tc>
        <w:tc>
          <w:tcPr>
            <w:tcW w:w="95" w:type="dxa"/>
            <w:tcBorders/>
            <w:shd w:fill="CCEEFF" w:val="clear"/>
            <w:vAlign w:val="bottom"/>
          </w:tcPr>
          <w:p>
            <w:pPr>
              <w:pStyle w:val="TableContents"/>
              <w:bidi w:val="0"/>
              <w:spacing w:before="0" w:after="283"/>
              <w:jc w:val="left"/>
              <w:rPr/>
            </w:pPr>
            <w:r>
              <w:rPr/>
              <w:t> </w:t>
            </w:r>
          </w:p>
        </w:tc>
      </w:tr>
      <w:tr>
        <w:trPr/>
        <w:tc>
          <w:tcPr>
            <w:tcW w:w="4610" w:type="dxa"/>
            <w:tcBorders/>
            <w:vAlign w:val="bottom"/>
          </w:tcPr>
          <w:p>
            <w:pPr>
              <w:pStyle w:val="TableContents"/>
              <w:bidi w:val="0"/>
              <w:spacing w:before="0" w:after="0"/>
              <w:ind w:left="144" w:right="0" w:hanging="144"/>
              <w:jc w:val="left"/>
              <w:rPr>
                <w:color w:val="000000"/>
              </w:rPr>
            </w:pPr>
            <w:r>
              <w:rPr>
                <w:color w:val="000000"/>
              </w:rPr>
              <w:t>Less: accumulated depreciation and amortization</w:t>
            </w:r>
          </w:p>
        </w:tc>
        <w:tc>
          <w:tcPr>
            <w:tcW w:w="60" w:type="dxa"/>
            <w:tcBorders/>
            <w:vAlign w:val="bottom"/>
          </w:tcPr>
          <w:p>
            <w:pPr>
              <w:pStyle w:val="TableContents"/>
              <w:bidi w:val="0"/>
              <w:spacing w:before="0" w:after="283"/>
              <w:jc w:val="left"/>
              <w:rPr/>
            </w:pPr>
            <w:r>
              <w:rPr/>
              <w:t> </w:t>
            </w:r>
          </w:p>
        </w:tc>
        <w:tc>
          <w:tcPr>
            <w:tcW w:w="21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0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(61,258</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291" w:type="dxa"/>
            <w:tcBorders>
              <w:bottom w:val="single" w:sz="12" w:space="0" w:color="000000"/>
            </w:tcBorders>
            <w:tcMar>
              <w:bottom w:w="28" w:type="dxa"/>
            </w:tcMar>
            <w:vAlign w:val="bottom"/>
          </w:tcPr>
          <w:p>
            <w:pPr>
              <w:pStyle w:val="TableContents"/>
              <w:bidi w:val="0"/>
              <w:spacing w:before="0" w:after="283"/>
              <w:jc w:val="left"/>
              <w:rPr/>
            </w:pPr>
            <w:r>
              <w:rPr/>
              <w:t> </w:t>
            </w:r>
          </w:p>
        </w:tc>
        <w:tc>
          <w:tcPr>
            <w:tcW w:w="166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(50,223</w:t>
            </w:r>
          </w:p>
        </w:tc>
        <w:tc>
          <w:tcPr>
            <w:tcW w:w="95" w:type="dxa"/>
            <w:tcBorders/>
            <w:vAlign w:val="bottom"/>
          </w:tcPr>
          <w:p>
            <w:pPr>
              <w:pStyle w:val="TableContents"/>
              <w:bidi w:val="0"/>
              <w:spacing w:before="0" w:after="0"/>
              <w:jc w:val="left"/>
              <w:rPr>
                <w:color w:val="000000"/>
              </w:rPr>
            </w:pPr>
            <w:r>
              <w:rPr>
                <w:color w:val="000000"/>
              </w:rPr>
              <w:t>)</w:t>
            </w:r>
          </w:p>
        </w:tc>
      </w:tr>
      <w:tr>
        <w:trPr/>
        <w:tc>
          <w:tcPr>
            <w:tcW w:w="4610" w:type="dxa"/>
            <w:tcBorders/>
            <w:shd w:fill="CCEEFF" w:val="clear"/>
            <w:vAlign w:val="bottom"/>
          </w:tcPr>
          <w:p>
            <w:pPr>
              <w:pStyle w:val="TableContents"/>
              <w:bidi w:val="0"/>
              <w:spacing w:before="0" w:after="0"/>
              <w:ind w:left="504" w:right="0" w:hanging="144"/>
              <w:jc w:val="left"/>
              <w:rPr>
                <w:color w:val="000000"/>
              </w:rPr>
            </w:pPr>
            <w:r>
              <w:rPr>
                <w:color w:val="000000"/>
              </w:rPr>
              <w:t>Total property and equipment, net</w:t>
            </w:r>
          </w:p>
        </w:tc>
        <w:tc>
          <w:tcPr>
            <w:tcW w:w="60" w:type="dxa"/>
            <w:tcBorders/>
            <w:shd w:fill="CCEEFF" w:val="clear"/>
            <w:vAlign w:val="bottom"/>
          </w:tcPr>
          <w:p>
            <w:pPr>
              <w:pStyle w:val="TableContents"/>
              <w:bidi w:val="0"/>
              <w:spacing w:before="0" w:after="283"/>
              <w:jc w:val="left"/>
              <w:rPr/>
            </w:pPr>
            <w:r>
              <w:rPr/>
              <w:t> </w:t>
            </w:r>
          </w:p>
        </w:tc>
        <w:tc>
          <w:tcPr>
            <w:tcW w:w="21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04"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156,961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1"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664"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155,776</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720"/>
        <w:jc w:val="left"/>
        <w:rPr>
          <w:color w:val="000000"/>
        </w:rPr>
      </w:pPr>
      <w:r>
        <w:rPr>
          <w:color w:val="000000"/>
        </w:rPr>
        <w:t> </w:t>
      </w:r>
      <w:r>
        <w:rPr>
          <w:rFonts w:ascii="Times New Roman" w:hAnsi="Times New Roman"/>
          <w:color w:val="000000"/>
          <w:sz w:val="20"/>
        </w:rPr>
        <w:t>Depreciation expense related to property and equipment was $5.9 million and $5.7 million for the three months ended June 30, 2026, and 2025, respectively and $11.8 million and $11.5 million for the six months ended June 30, 2026 and 2025, respectively, and were recorded in both R&amp;D expenses and general and administrative (“G&amp;A”) expenses in the condensed consolidated statements of operations.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Accrued compensation and other related benefits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Accrued compensation and other related benefits consists of the following (in thousands):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6" w:name="z76233f9779744fc49386ab9d84c7054d"/>
      <w:bookmarkStart w:id="47" w:name="z76233f9779744fc49386ab9d84c7054d"/>
      <w:bookmarkEnd w:id="47"/>
    </w:p>
    <w:tbl>
      <w:tblPr>
        <w:tblW w:w="8745" w:type="dxa"/>
        <w:jc w:val="left"/>
        <w:tblInd w:w="0" w:type="dxa"/>
        <w:tblLayout w:type="fixed"/>
        <w:tblCellMar>
          <w:top w:w="0" w:type="dxa"/>
          <w:left w:w="0" w:type="dxa"/>
          <w:bottom w:w="0" w:type="dxa"/>
          <w:right w:w="0" w:type="dxa"/>
        </w:tblCellMar>
      </w:tblPr>
      <w:tblGrid>
        <w:gridCol w:w="5120"/>
        <w:gridCol w:w="60"/>
        <w:gridCol w:w="283"/>
        <w:gridCol w:w="1132"/>
        <w:gridCol w:w="60"/>
        <w:gridCol w:w="60"/>
        <w:gridCol w:w="333"/>
        <w:gridCol w:w="1622"/>
        <w:gridCol w:w="75"/>
      </w:tblGrid>
      <w:tr>
        <w:trPr/>
        <w:tc>
          <w:tcPr>
            <w:tcW w:w="5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June 30, 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 2025</w:t>
            </w:r>
          </w:p>
        </w:tc>
        <w:tc>
          <w:tcPr>
            <w:tcW w:w="75" w:type="dxa"/>
            <w:tcBorders/>
            <w:vAlign w:val="bottom"/>
          </w:tcPr>
          <w:p>
            <w:pPr>
              <w:pStyle w:val="TableContents"/>
              <w:bidi w:val="0"/>
              <w:spacing w:before="0" w:after="283"/>
              <w:jc w:val="left"/>
              <w:rPr/>
            </w:pPr>
            <w:r>
              <w:rPr/>
              <w:t> </w:t>
            </w:r>
          </w:p>
        </w:tc>
      </w:tr>
      <w:tr>
        <w:trPr/>
        <w:tc>
          <w:tcPr>
            <w:tcW w:w="5120" w:type="dxa"/>
            <w:tcBorders/>
            <w:shd w:fill="CCEEFF" w:val="clear"/>
            <w:vAlign w:val="bottom"/>
          </w:tcPr>
          <w:p>
            <w:pPr>
              <w:pStyle w:val="TableContents"/>
              <w:bidi w:val="0"/>
              <w:spacing w:before="0" w:after="0"/>
              <w:ind w:left="0" w:right="62" w:hanging="0"/>
              <w:jc w:val="both"/>
              <w:rPr>
                <w:color w:val="000000"/>
              </w:rPr>
            </w:pPr>
            <w:r>
              <w:rPr>
                <w:color w:val="000000"/>
              </w:rPr>
              <w:t>Accrued bonuses</w:t>
            </w:r>
          </w:p>
        </w:tc>
        <w:tc>
          <w:tcPr>
            <w:tcW w:w="60" w:type="dxa"/>
            <w:tcBorders/>
            <w:shd w:fill="CCEEFF" w:val="clear"/>
            <w:vAlign w:val="bottom"/>
          </w:tcPr>
          <w:p>
            <w:pPr>
              <w:pStyle w:val="TableContents"/>
              <w:bidi w:val="0"/>
              <w:spacing w:before="0" w:after="283"/>
              <w:jc w:val="right"/>
              <w:rPr/>
            </w:pPr>
            <w:r>
              <w:rPr/>
              <w:t> </w:t>
            </w:r>
          </w:p>
        </w:tc>
        <w:tc>
          <w:tcPr>
            <w:tcW w:w="283" w:type="dxa"/>
            <w:tcBorders/>
            <w:shd w:fill="CCEEFF" w:val="clear"/>
            <w:vAlign w:val="bottom"/>
          </w:tcPr>
          <w:p>
            <w:pPr>
              <w:pStyle w:val="TableContents"/>
              <w:bidi w:val="0"/>
              <w:spacing w:before="0" w:after="0"/>
              <w:jc w:val="left"/>
              <w:rPr>
                <w:color w:val="000000"/>
              </w:rPr>
            </w:pPr>
            <w:r>
              <w:rPr>
                <w:color w:val="000000"/>
              </w:rPr>
              <w:t>$</w:t>
            </w:r>
          </w:p>
        </w:tc>
        <w:tc>
          <w:tcPr>
            <w:tcW w:w="1132" w:type="dxa"/>
            <w:tcBorders/>
            <w:shd w:fill="CCEEFF" w:val="clear"/>
            <w:vAlign w:val="bottom"/>
          </w:tcPr>
          <w:p>
            <w:pPr>
              <w:pStyle w:val="TableContents"/>
              <w:bidi w:val="0"/>
              <w:spacing w:before="0" w:after="0"/>
              <w:jc w:val="right"/>
              <w:rPr>
                <w:color w:val="000000"/>
              </w:rPr>
            </w:pPr>
            <w:r>
              <w:rPr>
                <w:color w:val="000000"/>
              </w:rPr>
              <w:t>7,597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33" w:type="dxa"/>
            <w:tcBorders/>
            <w:shd w:fill="CCEEFF" w:val="clear"/>
            <w:vAlign w:val="bottom"/>
          </w:tcPr>
          <w:p>
            <w:pPr>
              <w:pStyle w:val="TableContents"/>
              <w:bidi w:val="0"/>
              <w:spacing w:before="0" w:after="0"/>
              <w:jc w:val="left"/>
              <w:rPr>
                <w:color w:val="000000"/>
              </w:rPr>
            </w:pPr>
            <w:r>
              <w:rPr>
                <w:color w:val="000000"/>
              </w:rPr>
              <w:t>$</w:t>
            </w:r>
          </w:p>
        </w:tc>
        <w:tc>
          <w:tcPr>
            <w:tcW w:w="1622" w:type="dxa"/>
            <w:tcBorders/>
            <w:shd w:fill="CCEEFF" w:val="clear"/>
            <w:vAlign w:val="bottom"/>
          </w:tcPr>
          <w:p>
            <w:pPr>
              <w:pStyle w:val="TableContents"/>
              <w:bidi w:val="0"/>
              <w:spacing w:before="0" w:after="0"/>
              <w:jc w:val="right"/>
              <w:rPr>
                <w:color w:val="000000"/>
              </w:rPr>
            </w:pPr>
            <w:r>
              <w:rPr>
                <w:color w:val="000000"/>
              </w:rPr>
              <w:t>12,141</w:t>
            </w:r>
          </w:p>
        </w:tc>
        <w:tc>
          <w:tcPr>
            <w:tcW w:w="75" w:type="dxa"/>
            <w:tcBorders/>
            <w:shd w:fill="CCEEFF" w:val="clear"/>
            <w:vAlign w:val="bottom"/>
          </w:tcPr>
          <w:p>
            <w:pPr>
              <w:pStyle w:val="TableContents"/>
              <w:bidi w:val="0"/>
              <w:spacing w:before="0" w:after="283"/>
              <w:jc w:val="left"/>
              <w:rPr/>
            </w:pPr>
            <w:r>
              <w:rPr/>
              <w:t> </w:t>
            </w:r>
          </w:p>
        </w:tc>
      </w:tr>
      <w:tr>
        <w:trPr/>
        <w:tc>
          <w:tcPr>
            <w:tcW w:w="5120" w:type="dxa"/>
            <w:tcBorders/>
            <w:vAlign w:val="bottom"/>
          </w:tcPr>
          <w:p>
            <w:pPr>
              <w:pStyle w:val="TableContents"/>
              <w:bidi w:val="0"/>
              <w:spacing w:before="0" w:after="0"/>
              <w:ind w:left="0" w:right="62" w:hanging="0"/>
              <w:jc w:val="both"/>
              <w:rPr>
                <w:color w:val="000000"/>
              </w:rPr>
            </w:pPr>
            <w:r>
              <w:rPr>
                <w:color w:val="000000"/>
              </w:rPr>
              <w:t>Accrued payroll and related expenses</w:t>
            </w:r>
          </w:p>
        </w:tc>
        <w:tc>
          <w:tcPr>
            <w:tcW w:w="60" w:type="dxa"/>
            <w:tcBorders/>
            <w:vAlign w:val="bottom"/>
          </w:tcPr>
          <w:p>
            <w:pPr>
              <w:pStyle w:val="TableContents"/>
              <w:bidi w:val="0"/>
              <w:spacing w:before="0" w:after="283"/>
              <w:jc w:val="righ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0"/>
              <w:jc w:val="right"/>
              <w:rPr>
                <w:color w:val="000000"/>
              </w:rPr>
            </w:pPr>
            <w:r>
              <w:rPr>
                <w:color w:val="000000"/>
              </w:rPr>
              <w:t>917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33" w:type="dxa"/>
            <w:tcBorders/>
            <w:vAlign w:val="bottom"/>
          </w:tcPr>
          <w:p>
            <w:pPr>
              <w:pStyle w:val="TableContents"/>
              <w:bidi w:val="0"/>
              <w:spacing w:before="0" w:after="283"/>
              <w:jc w:val="left"/>
              <w:rPr/>
            </w:pPr>
            <w:r>
              <w:rPr/>
              <w:t> </w:t>
            </w:r>
          </w:p>
        </w:tc>
        <w:tc>
          <w:tcPr>
            <w:tcW w:w="1622" w:type="dxa"/>
            <w:tcBorders/>
            <w:vAlign w:val="bottom"/>
          </w:tcPr>
          <w:p>
            <w:pPr>
              <w:pStyle w:val="TableContents"/>
              <w:bidi w:val="0"/>
              <w:spacing w:before="0" w:after="0"/>
              <w:jc w:val="right"/>
              <w:rPr>
                <w:color w:val="000000"/>
              </w:rPr>
            </w:pPr>
            <w:r>
              <w:rPr>
                <w:color w:val="000000"/>
              </w:rPr>
              <w:t>916</w:t>
            </w:r>
          </w:p>
        </w:tc>
        <w:tc>
          <w:tcPr>
            <w:tcW w:w="75" w:type="dxa"/>
            <w:tcBorders/>
            <w:vAlign w:val="bottom"/>
          </w:tcPr>
          <w:p>
            <w:pPr>
              <w:pStyle w:val="TableContents"/>
              <w:bidi w:val="0"/>
              <w:spacing w:before="0" w:after="283"/>
              <w:jc w:val="left"/>
              <w:rPr/>
            </w:pPr>
            <w:r>
              <w:rPr/>
              <w:t> </w:t>
            </w:r>
          </w:p>
        </w:tc>
      </w:tr>
      <w:tr>
        <w:trPr/>
        <w:tc>
          <w:tcPr>
            <w:tcW w:w="5120" w:type="dxa"/>
            <w:tcBorders/>
            <w:shd w:fill="CCEEFF" w:val="clear"/>
            <w:vAlign w:val="bottom"/>
          </w:tcPr>
          <w:p>
            <w:pPr>
              <w:pStyle w:val="TableContents"/>
              <w:bidi w:val="0"/>
              <w:spacing w:before="0" w:after="0"/>
              <w:ind w:left="0" w:right="62" w:hanging="0"/>
              <w:jc w:val="both"/>
              <w:rPr>
                <w:color w:val="000000"/>
              </w:rPr>
            </w:pPr>
            <w:r>
              <w:rPr>
                <w:color w:val="000000"/>
              </w:rPr>
              <w:t>Accrued other compensation related benefits</w:t>
            </w:r>
          </w:p>
        </w:tc>
        <w:tc>
          <w:tcPr>
            <w:tcW w:w="60" w:type="dxa"/>
            <w:tcBorders/>
            <w:shd w:fill="CCEEFF" w:val="clear"/>
            <w:vAlign w:val="bottom"/>
          </w:tcPr>
          <w:p>
            <w:pPr>
              <w:pStyle w:val="TableContents"/>
              <w:bidi w:val="0"/>
              <w:spacing w:before="0" w:after="283"/>
              <w:jc w:val="right"/>
              <w:rPr/>
            </w:pPr>
            <w:r>
              <w:rPr/>
              <w:t> </w:t>
            </w:r>
          </w:p>
        </w:tc>
        <w:tc>
          <w:tcPr>
            <w:tcW w:w="28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3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62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367</w:t>
            </w:r>
          </w:p>
        </w:tc>
        <w:tc>
          <w:tcPr>
            <w:tcW w:w="75" w:type="dxa"/>
            <w:tcBorders/>
            <w:shd w:fill="CCEEFF" w:val="clear"/>
            <w:vAlign w:val="bottom"/>
          </w:tcPr>
          <w:p>
            <w:pPr>
              <w:pStyle w:val="TableContents"/>
              <w:bidi w:val="0"/>
              <w:spacing w:before="0" w:after="283"/>
              <w:jc w:val="left"/>
              <w:rPr/>
            </w:pPr>
            <w:r>
              <w:rPr/>
              <w:t> </w:t>
            </w:r>
          </w:p>
        </w:tc>
      </w:tr>
      <w:tr>
        <w:trPr/>
        <w:tc>
          <w:tcPr>
            <w:tcW w:w="5120" w:type="dxa"/>
            <w:tcBorders/>
            <w:vAlign w:val="bottom"/>
          </w:tcPr>
          <w:p>
            <w:pPr>
              <w:pStyle w:val="TableContents"/>
              <w:bidi w:val="0"/>
              <w:spacing w:before="0" w:after="0"/>
              <w:ind w:left="180" w:right="0" w:hanging="0"/>
              <w:jc w:val="left"/>
              <w:rPr>
                <w:color w:val="000000"/>
              </w:rPr>
            </w:pPr>
            <w:r>
              <w:rPr>
                <w:color w:val="000000"/>
              </w:rPr>
              <w:t>Total accrued compensation and other related benefits</w:t>
            </w:r>
          </w:p>
        </w:tc>
        <w:tc>
          <w:tcPr>
            <w:tcW w:w="60" w:type="dxa"/>
            <w:tcBorders/>
            <w:vAlign w:val="bottom"/>
          </w:tcPr>
          <w:p>
            <w:pPr>
              <w:pStyle w:val="TableContents"/>
              <w:bidi w:val="0"/>
              <w:spacing w:before="0" w:after="283"/>
              <w:jc w:val="right"/>
              <w:rPr/>
            </w:pPr>
            <w:r>
              <w:rPr/>
              <w:t> </w:t>
            </w:r>
          </w:p>
        </w:tc>
        <w:tc>
          <w:tcPr>
            <w:tcW w:w="283"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132"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8,991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33"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622"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13,424</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Intangible Assets, net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following table presents details of intangible assets, net as of June 30, 2026 (in thousands):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8" w:name="z88231013eb6b477b85344fb092bd4d1b"/>
      <w:bookmarkStart w:id="49" w:name="z88231013eb6b477b85344fb092bd4d1b"/>
      <w:bookmarkEnd w:id="49"/>
    </w:p>
    <w:tbl>
      <w:tblPr>
        <w:tblW w:w="8525" w:type="dxa"/>
        <w:jc w:val="left"/>
        <w:tblInd w:w="0" w:type="dxa"/>
        <w:tblLayout w:type="fixed"/>
        <w:tblCellMar>
          <w:top w:w="0" w:type="dxa"/>
          <w:left w:w="0" w:type="dxa"/>
          <w:bottom w:w="0" w:type="dxa"/>
          <w:right w:w="0" w:type="dxa"/>
        </w:tblCellMar>
      </w:tblPr>
      <w:tblGrid>
        <w:gridCol w:w="3065"/>
        <w:gridCol w:w="60"/>
        <w:gridCol w:w="197"/>
        <w:gridCol w:w="788"/>
        <w:gridCol w:w="60"/>
        <w:gridCol w:w="60"/>
        <w:gridCol w:w="251"/>
        <w:gridCol w:w="1139"/>
        <w:gridCol w:w="95"/>
        <w:gridCol w:w="60"/>
        <w:gridCol w:w="281"/>
        <w:gridCol w:w="1124"/>
        <w:gridCol w:w="60"/>
        <w:gridCol w:w="60"/>
        <w:gridCol w:w="181"/>
        <w:gridCol w:w="969"/>
        <w:gridCol w:w="75"/>
      </w:tblGrid>
      <w:tr>
        <w:trPr/>
        <w:tc>
          <w:tcPr>
            <w:tcW w:w="30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25" w:type="dxa"/>
            <w:gridSpan w:val="14"/>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June 30, 2026</w:t>
            </w:r>
          </w:p>
        </w:tc>
        <w:tc>
          <w:tcPr>
            <w:tcW w:w="75" w:type="dxa"/>
            <w:tcBorders/>
            <w:vAlign w:val="bottom"/>
          </w:tcPr>
          <w:p>
            <w:pPr>
              <w:pStyle w:val="TableContents"/>
              <w:bidi w:val="0"/>
              <w:spacing w:before="0" w:after="283"/>
              <w:jc w:val="left"/>
              <w:rPr/>
            </w:pPr>
            <w:r>
              <w:rPr/>
              <w:t> </w:t>
            </w:r>
          </w:p>
        </w:tc>
      </w:tr>
      <w:tr>
        <w:trPr/>
        <w:tc>
          <w:tcPr>
            <w:tcW w:w="30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5" w:type="dxa"/>
            <w:gridSpan w:val="2"/>
            <w:tcBorders>
              <w:bottom w:val="single" w:sz="12" w:space="0" w:color="000000"/>
            </w:tcBorders>
            <w:tcMar>
              <w:bottom w:w="28" w:type="dxa"/>
            </w:tcMar>
            <w:vAlign w:val="bottom"/>
          </w:tcPr>
          <w:p>
            <w:pPr>
              <w:pStyle w:val="TableContents"/>
              <w:bidi w:val="0"/>
              <w:spacing w:before="0" w:after="0"/>
              <w:ind w:left="0" w:right="0" w:firstLine="20"/>
              <w:jc w:val="center"/>
              <w:rPr>
                <w:b/>
                <w:color w:val="000000"/>
              </w:rPr>
            </w:pPr>
            <w:r>
              <w:rPr>
                <w:b/>
                <w:color w:val="000000"/>
              </w:rPr>
              <w:t>Gross</w:t>
            </w:r>
          </w:p>
          <w:p>
            <w:pPr>
              <w:pStyle w:val="TableContents"/>
              <w:bidi w:val="0"/>
              <w:spacing w:before="0" w:after="0"/>
              <w:ind w:left="0" w:right="0" w:firstLine="20"/>
              <w:jc w:val="center"/>
              <w:rPr>
                <w:b/>
                <w:color w:val="000000"/>
              </w:rPr>
            </w:pPr>
            <w:r>
              <w:rPr>
                <w:b/>
                <w:color w:val="000000"/>
              </w:rPr>
              <w:t>Carrying</w:t>
            </w:r>
          </w:p>
          <w:p>
            <w:pPr>
              <w:pStyle w:val="TableContents"/>
              <w:bidi w:val="0"/>
              <w:spacing w:before="0" w:after="0"/>
              <w:ind w:left="0" w:right="0" w:firstLine="20"/>
              <w:jc w:val="center"/>
              <w:rPr>
                <w:b/>
                <w:color w:val="000000"/>
              </w:rPr>
            </w:pPr>
            <w:r>
              <w:rPr>
                <w:b/>
                <w:color w:val="000000"/>
              </w:rPr>
              <w:t>Amount</w:t>
            </w:r>
          </w:p>
        </w:tc>
        <w:tc>
          <w:tcPr>
            <w:tcW w:w="60"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center"/>
              <w:rPr/>
            </w:pPr>
            <w:r>
              <w:rPr/>
              <w:t> </w:t>
            </w:r>
          </w:p>
        </w:tc>
        <w:tc>
          <w:tcPr>
            <w:tcW w:w="1390" w:type="dxa"/>
            <w:gridSpan w:val="2"/>
            <w:tcBorders>
              <w:bottom w:val="single" w:sz="12" w:space="0" w:color="000000"/>
            </w:tcBorders>
            <w:tcMar>
              <w:bottom w:w="28" w:type="dxa"/>
            </w:tcMar>
            <w:vAlign w:val="bottom"/>
          </w:tcPr>
          <w:p>
            <w:pPr>
              <w:pStyle w:val="TableContents"/>
              <w:bidi w:val="0"/>
              <w:spacing w:before="0" w:after="0"/>
              <w:ind w:left="0" w:right="0" w:firstLine="20"/>
              <w:jc w:val="center"/>
              <w:rPr>
                <w:b/>
                <w:color w:val="000000"/>
              </w:rPr>
            </w:pPr>
            <w:r>
              <w:rPr>
                <w:b/>
                <w:color w:val="000000"/>
              </w:rPr>
              <w:t>Accumulated</w:t>
            </w:r>
          </w:p>
          <w:p>
            <w:pPr>
              <w:pStyle w:val="TableContents"/>
              <w:bidi w:val="0"/>
              <w:spacing w:before="0" w:after="0"/>
              <w:ind w:left="0" w:right="0" w:firstLine="20"/>
              <w:jc w:val="center"/>
              <w:rPr>
                <w:b/>
                <w:color w:val="000000"/>
              </w:rPr>
            </w:pPr>
            <w:r>
              <w:rPr>
                <w:b/>
                <w:color w:val="000000"/>
              </w:rPr>
              <w:t>Amortization</w:t>
            </w:r>
          </w:p>
        </w:tc>
        <w:tc>
          <w:tcPr>
            <w:tcW w:w="95"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center"/>
              <w:rPr/>
            </w:pPr>
            <w:r>
              <w:rPr/>
              <w:t> </w:t>
            </w:r>
          </w:p>
        </w:tc>
        <w:tc>
          <w:tcPr>
            <w:tcW w:w="1405" w:type="dxa"/>
            <w:gridSpan w:val="2"/>
            <w:tcBorders>
              <w:bottom w:val="single" w:sz="12" w:space="0" w:color="000000"/>
            </w:tcBorders>
            <w:tcMar>
              <w:bottom w:w="28" w:type="dxa"/>
            </w:tcMar>
            <w:vAlign w:val="bottom"/>
          </w:tcPr>
          <w:p>
            <w:pPr>
              <w:pStyle w:val="TableContents"/>
              <w:bidi w:val="0"/>
              <w:spacing w:before="0" w:after="0"/>
              <w:ind w:left="0" w:right="0" w:firstLine="20"/>
              <w:jc w:val="center"/>
              <w:rPr>
                <w:b/>
                <w:color w:val="000000"/>
              </w:rPr>
            </w:pPr>
            <w:r>
              <w:rPr>
                <w:b/>
                <w:color w:val="000000"/>
              </w:rPr>
              <w:t>Net Carrying</w:t>
            </w:r>
          </w:p>
          <w:p>
            <w:pPr>
              <w:pStyle w:val="TableContents"/>
              <w:bidi w:val="0"/>
              <w:spacing w:before="0" w:after="0"/>
              <w:ind w:left="0" w:right="0" w:firstLine="20"/>
              <w:jc w:val="center"/>
              <w:rPr>
                <w:b/>
                <w:color w:val="000000"/>
              </w:rPr>
            </w:pPr>
            <w:r>
              <w:rPr>
                <w:b/>
                <w:color w:val="000000"/>
              </w:rPr>
              <w:t>Amount</w:t>
            </w:r>
          </w:p>
        </w:tc>
        <w:tc>
          <w:tcPr>
            <w:tcW w:w="60"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center"/>
              <w:rPr/>
            </w:pPr>
            <w:r>
              <w:rPr/>
              <w:t> </w:t>
            </w:r>
          </w:p>
        </w:tc>
        <w:tc>
          <w:tcPr>
            <w:tcW w:w="1150" w:type="dxa"/>
            <w:gridSpan w:val="2"/>
            <w:tcBorders>
              <w:bottom w:val="single" w:sz="12" w:space="0" w:color="000000"/>
            </w:tcBorders>
            <w:tcMar>
              <w:bottom w:w="28" w:type="dxa"/>
            </w:tcMar>
            <w:vAlign w:val="bottom"/>
          </w:tcPr>
          <w:p>
            <w:pPr>
              <w:pStyle w:val="TableContents"/>
              <w:bidi w:val="0"/>
              <w:spacing w:before="0" w:after="0"/>
              <w:ind w:left="0" w:right="0" w:firstLine="20"/>
              <w:jc w:val="center"/>
              <w:rPr>
                <w:b/>
                <w:color w:val="000000"/>
              </w:rPr>
            </w:pPr>
            <w:r>
              <w:rPr>
                <w:b/>
                <w:color w:val="000000"/>
              </w:rPr>
              <w:t>Remaining</w:t>
            </w:r>
          </w:p>
          <w:p>
            <w:pPr>
              <w:pStyle w:val="TableContents"/>
              <w:bidi w:val="0"/>
              <w:spacing w:before="0" w:after="0"/>
              <w:ind w:left="0" w:right="0" w:firstLine="20"/>
              <w:jc w:val="center"/>
              <w:rPr>
                <w:b/>
                <w:color w:val="000000"/>
              </w:rPr>
            </w:pPr>
            <w:r>
              <w:rPr>
                <w:b/>
                <w:color w:val="000000"/>
              </w:rPr>
              <w:t>Weighted-</w:t>
            </w:r>
          </w:p>
          <w:p>
            <w:pPr>
              <w:pStyle w:val="TableContents"/>
              <w:bidi w:val="0"/>
              <w:spacing w:before="0" w:after="0"/>
              <w:ind w:left="0" w:right="0" w:firstLine="20"/>
              <w:jc w:val="center"/>
              <w:rPr>
                <w:b/>
                <w:color w:val="000000"/>
              </w:rPr>
            </w:pPr>
            <w:r>
              <w:rPr>
                <w:b/>
                <w:color w:val="000000"/>
              </w:rPr>
              <w:t>Average</w:t>
            </w:r>
          </w:p>
          <w:p>
            <w:pPr>
              <w:pStyle w:val="TableContents"/>
              <w:bidi w:val="0"/>
              <w:spacing w:before="0" w:after="0"/>
              <w:ind w:left="0" w:right="0" w:firstLine="20"/>
              <w:jc w:val="center"/>
              <w:rPr>
                <w:b/>
                <w:color w:val="000000"/>
              </w:rPr>
            </w:pPr>
            <w:r>
              <w:rPr>
                <w:b/>
                <w:color w:val="000000"/>
              </w:rPr>
              <w:t>Useful Life</w:t>
            </w:r>
          </w:p>
          <w:p>
            <w:pPr>
              <w:pStyle w:val="TableContents"/>
              <w:bidi w:val="0"/>
              <w:spacing w:before="0" w:after="0"/>
              <w:ind w:left="0" w:right="0" w:firstLine="20"/>
              <w:jc w:val="center"/>
              <w:rPr>
                <w:b/>
                <w:color w:val="000000"/>
              </w:rPr>
            </w:pPr>
            <w:r>
              <w:rPr>
                <w:b/>
                <w:color w:val="000000"/>
              </w:rPr>
              <w:t>(in years)</w:t>
            </w:r>
          </w:p>
        </w:tc>
        <w:tc>
          <w:tcPr>
            <w:tcW w:w="75" w:type="dxa"/>
            <w:tcBorders/>
            <w:vAlign w:val="bottom"/>
          </w:tcPr>
          <w:p>
            <w:pPr>
              <w:pStyle w:val="TableContents"/>
              <w:bidi w:val="0"/>
              <w:spacing w:before="0" w:after="283"/>
              <w:jc w:val="left"/>
              <w:rPr/>
            </w:pPr>
            <w:r>
              <w:rPr/>
              <w:t> </w:t>
            </w:r>
          </w:p>
        </w:tc>
      </w:tr>
      <w:tr>
        <w:trPr/>
        <w:tc>
          <w:tcPr>
            <w:tcW w:w="3065" w:type="dxa"/>
            <w:tcBorders/>
            <w:vAlign w:val="bottom"/>
          </w:tcPr>
          <w:p>
            <w:pPr>
              <w:pStyle w:val="TableContents"/>
              <w:bidi w:val="0"/>
              <w:spacing w:before="0" w:after="0"/>
              <w:ind w:left="0" w:right="62" w:hanging="0"/>
              <w:jc w:val="both"/>
              <w:rPr>
                <w:color w:val="000000"/>
              </w:rPr>
            </w:pPr>
            <w:r>
              <w:rPr>
                <w:color w:val="000000"/>
              </w:rPr>
              <w:t>Intangible assets acquired:</w:t>
            </w:r>
          </w:p>
        </w:tc>
        <w:tc>
          <w:tcPr>
            <w:tcW w:w="60" w:type="dxa"/>
            <w:tcBorders/>
            <w:vAlign w:val="bottom"/>
          </w:tcPr>
          <w:p>
            <w:pPr>
              <w:pStyle w:val="TableContents"/>
              <w:bidi w:val="0"/>
              <w:spacing w:before="0" w:after="283"/>
              <w:jc w:val="left"/>
              <w:rPr/>
            </w:pPr>
            <w:r>
              <w:rPr/>
              <w:t> </w:t>
            </w:r>
          </w:p>
        </w:tc>
        <w:tc>
          <w:tcPr>
            <w:tcW w:w="98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9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3065" w:type="dxa"/>
            <w:tcBorders/>
            <w:shd w:fill="CCEEFF" w:val="clear"/>
            <w:vAlign w:val="bottom"/>
          </w:tcPr>
          <w:p>
            <w:pPr>
              <w:pStyle w:val="TableContents"/>
              <w:bidi w:val="0"/>
              <w:spacing w:before="0" w:after="0"/>
              <w:ind w:left="180" w:right="0" w:hanging="0"/>
              <w:jc w:val="left"/>
              <w:rPr>
                <w:color w:val="000000"/>
              </w:rPr>
            </w:pPr>
            <w:r>
              <w:rPr>
                <w:color w:val="000000"/>
              </w:rPr>
              <w:t>Acquired developed technology</w:t>
            </w:r>
          </w:p>
        </w:tc>
        <w:tc>
          <w:tcPr>
            <w:tcW w:w="60" w:type="dxa"/>
            <w:tcBorders/>
            <w:shd w:fill="CCEEFF" w:val="clear"/>
            <w:vAlign w:val="bottom"/>
          </w:tcPr>
          <w:p>
            <w:pPr>
              <w:pStyle w:val="TableContents"/>
              <w:bidi w:val="0"/>
              <w:spacing w:before="0" w:after="283"/>
              <w:jc w:val="right"/>
              <w:rPr/>
            </w:pPr>
            <w:r>
              <w:rPr/>
              <w:t> </w:t>
            </w:r>
          </w:p>
        </w:tc>
        <w:tc>
          <w:tcPr>
            <w:tcW w:w="197" w:type="dxa"/>
            <w:tcBorders/>
            <w:shd w:fill="CCEEFF" w:val="clear"/>
            <w:vAlign w:val="bottom"/>
          </w:tcPr>
          <w:p>
            <w:pPr>
              <w:pStyle w:val="TableContents"/>
              <w:bidi w:val="0"/>
              <w:spacing w:before="0" w:after="0"/>
              <w:jc w:val="left"/>
              <w:rPr>
                <w:color w:val="000000"/>
              </w:rPr>
            </w:pPr>
            <w:r>
              <w:rPr>
                <w:color w:val="000000"/>
              </w:rPr>
              <w:t>$</w:t>
            </w:r>
          </w:p>
        </w:tc>
        <w:tc>
          <w:tcPr>
            <w:tcW w:w="788" w:type="dxa"/>
            <w:tcBorders/>
            <w:shd w:fill="CCEEFF" w:val="clear"/>
            <w:vAlign w:val="bottom"/>
          </w:tcPr>
          <w:p>
            <w:pPr>
              <w:pStyle w:val="TableContents"/>
              <w:bidi w:val="0"/>
              <w:spacing w:before="0" w:after="0"/>
              <w:jc w:val="right"/>
              <w:rPr>
                <w:color w:val="000000"/>
              </w:rPr>
            </w:pPr>
            <w:r>
              <w:rPr>
                <w:color w:val="000000"/>
              </w:rPr>
              <w:t>5,509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1" w:type="dxa"/>
            <w:tcBorders/>
            <w:shd w:fill="CCEEFF" w:val="clear"/>
            <w:vAlign w:val="bottom"/>
          </w:tcPr>
          <w:p>
            <w:pPr>
              <w:pStyle w:val="TableContents"/>
              <w:bidi w:val="0"/>
              <w:spacing w:before="0" w:after="0"/>
              <w:jc w:val="left"/>
              <w:rPr>
                <w:color w:val="000000"/>
              </w:rPr>
            </w:pPr>
            <w:r>
              <w:rPr>
                <w:color w:val="000000"/>
              </w:rPr>
              <w:t>$</w:t>
            </w:r>
          </w:p>
        </w:tc>
        <w:tc>
          <w:tcPr>
            <w:tcW w:w="1139" w:type="dxa"/>
            <w:tcBorders/>
            <w:shd w:fill="CCEEFF" w:val="clear"/>
            <w:vAlign w:val="bottom"/>
          </w:tcPr>
          <w:p>
            <w:pPr>
              <w:pStyle w:val="TableContents"/>
              <w:bidi w:val="0"/>
              <w:spacing w:before="0" w:after="0"/>
              <w:jc w:val="right"/>
              <w:rPr>
                <w:color w:val="000000"/>
              </w:rPr>
            </w:pPr>
            <w:r>
              <w:rPr>
                <w:color w:val="000000"/>
              </w:rPr>
              <w:t>(2,992</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281" w:type="dxa"/>
            <w:tcBorders/>
            <w:shd w:fill="CCEEFF" w:val="clear"/>
            <w:vAlign w:val="bottom"/>
          </w:tcPr>
          <w:p>
            <w:pPr>
              <w:pStyle w:val="TableContents"/>
              <w:bidi w:val="0"/>
              <w:spacing w:before="0" w:after="0"/>
              <w:jc w:val="left"/>
              <w:rPr>
                <w:color w:val="000000"/>
              </w:rPr>
            </w:pPr>
            <w:r>
              <w:rPr>
                <w:color w:val="000000"/>
              </w:rPr>
              <w:t>$</w:t>
            </w:r>
          </w:p>
        </w:tc>
        <w:tc>
          <w:tcPr>
            <w:tcW w:w="1124" w:type="dxa"/>
            <w:tcBorders/>
            <w:shd w:fill="CCEEFF" w:val="clear"/>
            <w:vAlign w:val="bottom"/>
          </w:tcPr>
          <w:p>
            <w:pPr>
              <w:pStyle w:val="TableContents"/>
              <w:bidi w:val="0"/>
              <w:spacing w:before="0" w:after="0"/>
              <w:jc w:val="right"/>
              <w:rPr>
                <w:color w:val="000000"/>
              </w:rPr>
            </w:pPr>
            <w:r>
              <w:rPr>
                <w:color w:val="000000"/>
              </w:rPr>
              <w:t>2,517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0"/>
              <w:jc w:val="right"/>
              <w:rPr>
                <w:color w:val="000000"/>
              </w:rPr>
            </w:pPr>
            <w:r>
              <w:rPr>
                <w:color w:val="000000"/>
              </w:rPr>
              <w:t>2.9</w:t>
            </w:r>
          </w:p>
        </w:tc>
        <w:tc>
          <w:tcPr>
            <w:tcW w:w="75" w:type="dxa"/>
            <w:tcBorders/>
            <w:shd w:fill="CCEEFF" w:val="clear"/>
            <w:vAlign w:val="bottom"/>
          </w:tcPr>
          <w:p>
            <w:pPr>
              <w:pStyle w:val="TableContents"/>
              <w:bidi w:val="0"/>
              <w:spacing w:before="0" w:after="283"/>
              <w:jc w:val="left"/>
              <w:rPr/>
            </w:pPr>
            <w:r>
              <w:rPr/>
              <w:t> </w:t>
            </w:r>
          </w:p>
        </w:tc>
      </w:tr>
      <w:tr>
        <w:trPr/>
        <w:tc>
          <w:tcPr>
            <w:tcW w:w="3065" w:type="dxa"/>
            <w:tcBorders/>
            <w:vAlign w:val="bottom"/>
          </w:tcPr>
          <w:p>
            <w:pPr>
              <w:pStyle w:val="TableContents"/>
              <w:bidi w:val="0"/>
              <w:spacing w:before="0" w:after="0"/>
              <w:ind w:left="180" w:right="0" w:hanging="0"/>
              <w:jc w:val="left"/>
              <w:rPr>
                <w:color w:val="000000"/>
              </w:rPr>
            </w:pPr>
            <w:r>
              <w:rPr>
                <w:color w:val="000000"/>
              </w:rPr>
              <w:t>Customer relationships</w:t>
            </w:r>
          </w:p>
        </w:tc>
        <w:tc>
          <w:tcPr>
            <w:tcW w:w="60" w:type="dxa"/>
            <w:tcBorders/>
            <w:vAlign w:val="bottom"/>
          </w:tcPr>
          <w:p>
            <w:pPr>
              <w:pStyle w:val="TableContents"/>
              <w:bidi w:val="0"/>
              <w:spacing w:before="0" w:after="283"/>
              <w:jc w:val="right"/>
              <w:rPr/>
            </w:pPr>
            <w:r>
              <w:rPr/>
              <w:t> </w:t>
            </w:r>
          </w:p>
        </w:tc>
        <w:tc>
          <w:tcPr>
            <w:tcW w:w="197" w:type="dxa"/>
            <w:tcBorders>
              <w:bottom w:val="single" w:sz="12" w:space="0" w:color="000000"/>
            </w:tcBorders>
            <w:tcMar>
              <w:bottom w:w="28" w:type="dxa"/>
            </w:tcMar>
            <w:vAlign w:val="bottom"/>
          </w:tcPr>
          <w:p>
            <w:pPr>
              <w:pStyle w:val="TableContents"/>
              <w:bidi w:val="0"/>
              <w:spacing w:before="0" w:after="283"/>
              <w:jc w:val="left"/>
              <w:rPr/>
            </w:pPr>
            <w:r>
              <w:rPr/>
              <w:t> </w:t>
            </w:r>
          </w:p>
        </w:tc>
        <w:tc>
          <w:tcPr>
            <w:tcW w:w="78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1"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(288</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281" w:type="dxa"/>
            <w:tcBorders>
              <w:bottom w:val="single" w:sz="12" w:space="0" w:color="000000"/>
            </w:tcBorders>
            <w:tcMar>
              <w:bottom w:w="28" w:type="dxa"/>
            </w:tcMar>
            <w:vAlign w:val="bottom"/>
          </w:tcPr>
          <w:p>
            <w:pPr>
              <w:pStyle w:val="TableContents"/>
              <w:bidi w:val="0"/>
              <w:spacing w:before="0" w:after="283"/>
              <w:jc w:val="left"/>
              <w:rPr/>
            </w:pPr>
            <w:r>
              <w:rPr/>
              <w:t> </w:t>
            </w:r>
          </w:p>
        </w:tc>
        <w:tc>
          <w:tcPr>
            <w:tcW w:w="112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0"/>
              <w:jc w:val="right"/>
              <w:rPr>
                <w:color w:val="000000"/>
              </w:rPr>
            </w:pPr>
            <w:r>
              <w:rPr>
                <w:color w:val="000000"/>
              </w:rPr>
              <w:t>2.9</w:t>
            </w:r>
          </w:p>
        </w:tc>
        <w:tc>
          <w:tcPr>
            <w:tcW w:w="75" w:type="dxa"/>
            <w:tcBorders/>
            <w:vAlign w:val="bottom"/>
          </w:tcPr>
          <w:p>
            <w:pPr>
              <w:pStyle w:val="TableContents"/>
              <w:bidi w:val="0"/>
              <w:spacing w:before="0" w:after="283"/>
              <w:jc w:val="left"/>
              <w:rPr/>
            </w:pPr>
            <w:r>
              <w:rPr/>
              <w:t> </w:t>
            </w:r>
          </w:p>
        </w:tc>
      </w:tr>
      <w:tr>
        <w:trPr/>
        <w:tc>
          <w:tcPr>
            <w:tcW w:w="3065" w:type="dxa"/>
            <w:tcBorders/>
            <w:shd w:fill="CCEEFF" w:val="clear"/>
            <w:vAlign w:val="bottom"/>
          </w:tcPr>
          <w:p>
            <w:pPr>
              <w:pStyle w:val="TableContents"/>
              <w:bidi w:val="0"/>
              <w:spacing w:before="0" w:after="0"/>
              <w:ind w:left="360" w:right="0" w:hanging="0"/>
              <w:jc w:val="left"/>
              <w:rPr>
                <w:color w:val="000000"/>
              </w:rPr>
            </w:pPr>
            <w:r>
              <w:rPr>
                <w:color w:val="000000"/>
              </w:rPr>
              <w:t>Total intangible assets acquired</w:t>
            </w:r>
          </w:p>
        </w:tc>
        <w:tc>
          <w:tcPr>
            <w:tcW w:w="60" w:type="dxa"/>
            <w:tcBorders/>
            <w:shd w:fill="CCEEFF" w:val="clear"/>
            <w:vAlign w:val="bottom"/>
          </w:tcPr>
          <w:p>
            <w:pPr>
              <w:pStyle w:val="TableContents"/>
              <w:bidi w:val="0"/>
              <w:spacing w:before="0" w:after="283"/>
              <w:jc w:val="right"/>
              <w:rPr/>
            </w:pPr>
            <w:r>
              <w:rPr/>
              <w:t> </w:t>
            </w:r>
          </w:p>
        </w:tc>
        <w:tc>
          <w:tcPr>
            <w:tcW w:w="197"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88"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6,038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1"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3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(3,280</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281"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24"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2,758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following table presents details of intangible assets, net as of December 31, 2025 (in thousands):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0" w:name="ze81840110fe34d07862971f2a9380ff3"/>
      <w:bookmarkStart w:id="51" w:name="ze81840110fe34d07862971f2a9380ff3"/>
      <w:bookmarkEnd w:id="51"/>
    </w:p>
    <w:tbl>
      <w:tblPr>
        <w:tblW w:w="8525" w:type="dxa"/>
        <w:jc w:val="left"/>
        <w:tblInd w:w="0" w:type="dxa"/>
        <w:tblLayout w:type="fixed"/>
        <w:tblCellMar>
          <w:top w:w="0" w:type="dxa"/>
          <w:left w:w="0" w:type="dxa"/>
          <w:bottom w:w="0" w:type="dxa"/>
          <w:right w:w="0" w:type="dxa"/>
        </w:tblCellMar>
      </w:tblPr>
      <w:tblGrid>
        <w:gridCol w:w="3065"/>
        <w:gridCol w:w="60"/>
        <w:gridCol w:w="197"/>
        <w:gridCol w:w="788"/>
        <w:gridCol w:w="60"/>
        <w:gridCol w:w="60"/>
        <w:gridCol w:w="251"/>
        <w:gridCol w:w="1139"/>
        <w:gridCol w:w="95"/>
        <w:gridCol w:w="60"/>
        <w:gridCol w:w="281"/>
        <w:gridCol w:w="1124"/>
        <w:gridCol w:w="60"/>
        <w:gridCol w:w="60"/>
        <w:gridCol w:w="181"/>
        <w:gridCol w:w="969"/>
        <w:gridCol w:w="75"/>
      </w:tblGrid>
      <w:tr>
        <w:trPr/>
        <w:tc>
          <w:tcPr>
            <w:tcW w:w="30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25" w:type="dxa"/>
            <w:gridSpan w:val="14"/>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 2025</w:t>
            </w:r>
          </w:p>
        </w:tc>
        <w:tc>
          <w:tcPr>
            <w:tcW w:w="75" w:type="dxa"/>
            <w:tcBorders/>
            <w:vAlign w:val="bottom"/>
          </w:tcPr>
          <w:p>
            <w:pPr>
              <w:pStyle w:val="TableContents"/>
              <w:bidi w:val="0"/>
              <w:spacing w:before="0" w:after="283"/>
              <w:jc w:val="left"/>
              <w:rPr/>
            </w:pPr>
            <w:r>
              <w:rPr/>
              <w:t> </w:t>
            </w:r>
          </w:p>
        </w:tc>
      </w:tr>
      <w:tr>
        <w:trPr/>
        <w:tc>
          <w:tcPr>
            <w:tcW w:w="30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5" w:type="dxa"/>
            <w:gridSpan w:val="2"/>
            <w:tcBorders>
              <w:bottom w:val="single" w:sz="12" w:space="0" w:color="000000"/>
            </w:tcBorders>
            <w:tcMar>
              <w:bottom w:w="28" w:type="dxa"/>
            </w:tcMar>
            <w:vAlign w:val="bottom"/>
          </w:tcPr>
          <w:p>
            <w:pPr>
              <w:pStyle w:val="TableContents"/>
              <w:bidi w:val="0"/>
              <w:spacing w:before="0" w:after="0"/>
              <w:ind w:left="0" w:right="0" w:firstLine="20"/>
              <w:jc w:val="center"/>
              <w:rPr>
                <w:b/>
                <w:color w:val="000000"/>
              </w:rPr>
            </w:pPr>
            <w:r>
              <w:rPr>
                <w:b/>
                <w:color w:val="000000"/>
              </w:rPr>
              <w:t>Gross</w:t>
            </w:r>
          </w:p>
          <w:p>
            <w:pPr>
              <w:pStyle w:val="TableContents"/>
              <w:bidi w:val="0"/>
              <w:spacing w:before="0" w:after="0"/>
              <w:ind w:left="0" w:right="0" w:firstLine="20"/>
              <w:jc w:val="center"/>
              <w:rPr>
                <w:b/>
                <w:color w:val="000000"/>
              </w:rPr>
            </w:pPr>
            <w:r>
              <w:rPr>
                <w:b/>
                <w:color w:val="000000"/>
              </w:rPr>
              <w:t>Carrying</w:t>
            </w:r>
          </w:p>
          <w:p>
            <w:pPr>
              <w:pStyle w:val="TableContents"/>
              <w:bidi w:val="0"/>
              <w:spacing w:before="0" w:after="0"/>
              <w:ind w:left="0" w:right="0" w:firstLine="20"/>
              <w:jc w:val="center"/>
              <w:rPr>
                <w:b/>
                <w:color w:val="000000"/>
              </w:rPr>
            </w:pPr>
            <w:r>
              <w:rPr>
                <w:b/>
                <w:color w:val="000000"/>
              </w:rPr>
              <w:t>Amount</w:t>
            </w:r>
          </w:p>
        </w:tc>
        <w:tc>
          <w:tcPr>
            <w:tcW w:w="60"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center"/>
              <w:rPr/>
            </w:pPr>
            <w:r>
              <w:rPr/>
              <w:t> </w:t>
            </w:r>
          </w:p>
        </w:tc>
        <w:tc>
          <w:tcPr>
            <w:tcW w:w="1390" w:type="dxa"/>
            <w:gridSpan w:val="2"/>
            <w:tcBorders>
              <w:bottom w:val="single" w:sz="12" w:space="0" w:color="000000"/>
            </w:tcBorders>
            <w:tcMar>
              <w:bottom w:w="28" w:type="dxa"/>
            </w:tcMar>
            <w:vAlign w:val="bottom"/>
          </w:tcPr>
          <w:p>
            <w:pPr>
              <w:pStyle w:val="TableContents"/>
              <w:bidi w:val="0"/>
              <w:spacing w:before="0" w:after="0"/>
              <w:ind w:left="0" w:right="0" w:firstLine="20"/>
              <w:jc w:val="center"/>
              <w:rPr>
                <w:b/>
                <w:color w:val="000000"/>
              </w:rPr>
            </w:pPr>
            <w:r>
              <w:rPr>
                <w:b/>
                <w:color w:val="000000"/>
              </w:rPr>
              <w:t>Accumulated</w:t>
            </w:r>
          </w:p>
          <w:p>
            <w:pPr>
              <w:pStyle w:val="TableContents"/>
              <w:bidi w:val="0"/>
              <w:spacing w:before="0" w:after="0"/>
              <w:ind w:left="0" w:right="0" w:firstLine="20"/>
              <w:jc w:val="center"/>
              <w:rPr>
                <w:b/>
                <w:color w:val="000000"/>
              </w:rPr>
            </w:pPr>
            <w:r>
              <w:rPr>
                <w:b/>
                <w:color w:val="000000"/>
              </w:rPr>
              <w:t>Amortization</w:t>
            </w:r>
          </w:p>
        </w:tc>
        <w:tc>
          <w:tcPr>
            <w:tcW w:w="95"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center"/>
              <w:rPr/>
            </w:pPr>
            <w:r>
              <w:rPr/>
              <w:t> </w:t>
            </w:r>
          </w:p>
        </w:tc>
        <w:tc>
          <w:tcPr>
            <w:tcW w:w="1405" w:type="dxa"/>
            <w:gridSpan w:val="2"/>
            <w:tcBorders>
              <w:bottom w:val="single" w:sz="12" w:space="0" w:color="000000"/>
            </w:tcBorders>
            <w:tcMar>
              <w:bottom w:w="28" w:type="dxa"/>
            </w:tcMar>
            <w:vAlign w:val="bottom"/>
          </w:tcPr>
          <w:p>
            <w:pPr>
              <w:pStyle w:val="TableContents"/>
              <w:bidi w:val="0"/>
              <w:spacing w:before="0" w:after="0"/>
              <w:ind w:left="0" w:right="0" w:firstLine="20"/>
              <w:jc w:val="center"/>
              <w:rPr>
                <w:b/>
                <w:color w:val="000000"/>
              </w:rPr>
            </w:pPr>
            <w:r>
              <w:rPr>
                <w:b/>
                <w:color w:val="000000"/>
              </w:rPr>
              <w:t>Net Carrying</w:t>
            </w:r>
          </w:p>
          <w:p>
            <w:pPr>
              <w:pStyle w:val="TableContents"/>
              <w:bidi w:val="0"/>
              <w:spacing w:before="0" w:after="0"/>
              <w:ind w:left="0" w:right="0" w:firstLine="20"/>
              <w:jc w:val="center"/>
              <w:rPr>
                <w:b/>
                <w:color w:val="000000"/>
              </w:rPr>
            </w:pPr>
            <w:r>
              <w:rPr>
                <w:b/>
                <w:color w:val="000000"/>
              </w:rPr>
              <w:t>Amount</w:t>
            </w:r>
          </w:p>
        </w:tc>
        <w:tc>
          <w:tcPr>
            <w:tcW w:w="60"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center"/>
              <w:rPr/>
            </w:pPr>
            <w:r>
              <w:rPr/>
              <w:t> </w:t>
            </w:r>
          </w:p>
        </w:tc>
        <w:tc>
          <w:tcPr>
            <w:tcW w:w="1150" w:type="dxa"/>
            <w:gridSpan w:val="2"/>
            <w:tcBorders>
              <w:bottom w:val="single" w:sz="12" w:space="0" w:color="000000"/>
            </w:tcBorders>
            <w:tcMar>
              <w:bottom w:w="28" w:type="dxa"/>
            </w:tcMar>
            <w:vAlign w:val="bottom"/>
          </w:tcPr>
          <w:p>
            <w:pPr>
              <w:pStyle w:val="TableContents"/>
              <w:bidi w:val="0"/>
              <w:spacing w:before="0" w:after="0"/>
              <w:ind w:left="0" w:right="0" w:firstLine="20"/>
              <w:jc w:val="center"/>
              <w:rPr>
                <w:b/>
                <w:color w:val="000000"/>
              </w:rPr>
            </w:pPr>
            <w:r>
              <w:rPr>
                <w:b/>
                <w:color w:val="000000"/>
              </w:rPr>
              <w:t>Remaining</w:t>
            </w:r>
          </w:p>
          <w:p>
            <w:pPr>
              <w:pStyle w:val="TableContents"/>
              <w:bidi w:val="0"/>
              <w:spacing w:before="0" w:after="0"/>
              <w:ind w:left="0" w:right="0" w:firstLine="20"/>
              <w:jc w:val="center"/>
              <w:rPr>
                <w:b/>
                <w:color w:val="000000"/>
              </w:rPr>
            </w:pPr>
            <w:r>
              <w:rPr>
                <w:b/>
                <w:color w:val="000000"/>
              </w:rPr>
              <w:t>Weighted-</w:t>
            </w:r>
          </w:p>
          <w:p>
            <w:pPr>
              <w:pStyle w:val="TableContents"/>
              <w:bidi w:val="0"/>
              <w:spacing w:before="0" w:after="0"/>
              <w:ind w:left="0" w:right="0" w:firstLine="20"/>
              <w:jc w:val="center"/>
              <w:rPr>
                <w:b/>
                <w:color w:val="000000"/>
              </w:rPr>
            </w:pPr>
            <w:r>
              <w:rPr>
                <w:b/>
                <w:color w:val="000000"/>
              </w:rPr>
              <w:t>Average</w:t>
            </w:r>
          </w:p>
          <w:p>
            <w:pPr>
              <w:pStyle w:val="TableContents"/>
              <w:bidi w:val="0"/>
              <w:spacing w:before="0" w:after="0"/>
              <w:ind w:left="0" w:right="0" w:firstLine="20"/>
              <w:jc w:val="center"/>
              <w:rPr>
                <w:b/>
                <w:color w:val="000000"/>
              </w:rPr>
            </w:pPr>
            <w:r>
              <w:rPr>
                <w:b/>
                <w:color w:val="000000"/>
              </w:rPr>
              <w:t>Useful Life</w:t>
            </w:r>
          </w:p>
          <w:p>
            <w:pPr>
              <w:pStyle w:val="TableContents"/>
              <w:bidi w:val="0"/>
              <w:spacing w:before="0" w:after="0"/>
              <w:ind w:left="0" w:right="0" w:firstLine="20"/>
              <w:jc w:val="center"/>
              <w:rPr>
                <w:b/>
                <w:color w:val="000000"/>
              </w:rPr>
            </w:pPr>
            <w:r>
              <w:rPr>
                <w:b/>
                <w:color w:val="000000"/>
              </w:rPr>
              <w:t>(in years)</w:t>
            </w:r>
          </w:p>
        </w:tc>
        <w:tc>
          <w:tcPr>
            <w:tcW w:w="75" w:type="dxa"/>
            <w:tcBorders/>
            <w:vAlign w:val="bottom"/>
          </w:tcPr>
          <w:p>
            <w:pPr>
              <w:pStyle w:val="TableContents"/>
              <w:bidi w:val="0"/>
              <w:spacing w:before="0" w:after="283"/>
              <w:jc w:val="left"/>
              <w:rPr/>
            </w:pPr>
            <w:r>
              <w:rPr/>
              <w:t> </w:t>
            </w:r>
          </w:p>
        </w:tc>
      </w:tr>
      <w:tr>
        <w:trPr/>
        <w:tc>
          <w:tcPr>
            <w:tcW w:w="3065" w:type="dxa"/>
            <w:tcBorders/>
            <w:vAlign w:val="bottom"/>
          </w:tcPr>
          <w:p>
            <w:pPr>
              <w:pStyle w:val="TableContents"/>
              <w:bidi w:val="0"/>
              <w:spacing w:before="0" w:after="0"/>
              <w:ind w:left="0" w:right="62" w:hanging="0"/>
              <w:jc w:val="both"/>
              <w:rPr>
                <w:color w:val="000000"/>
              </w:rPr>
            </w:pPr>
            <w:r>
              <w:rPr>
                <w:color w:val="000000"/>
              </w:rPr>
              <w:t>Intangible assets acquired:</w:t>
            </w:r>
          </w:p>
        </w:tc>
        <w:tc>
          <w:tcPr>
            <w:tcW w:w="60" w:type="dxa"/>
            <w:tcBorders/>
            <w:vAlign w:val="bottom"/>
          </w:tcPr>
          <w:p>
            <w:pPr>
              <w:pStyle w:val="TableContents"/>
              <w:bidi w:val="0"/>
              <w:spacing w:before="0" w:after="283"/>
              <w:jc w:val="left"/>
              <w:rPr/>
            </w:pPr>
            <w:r>
              <w:rPr/>
              <w:t> </w:t>
            </w:r>
          </w:p>
        </w:tc>
        <w:tc>
          <w:tcPr>
            <w:tcW w:w="98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9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3065" w:type="dxa"/>
            <w:tcBorders/>
            <w:shd w:fill="CCEEFF" w:val="clear"/>
            <w:vAlign w:val="bottom"/>
          </w:tcPr>
          <w:p>
            <w:pPr>
              <w:pStyle w:val="TableContents"/>
              <w:bidi w:val="0"/>
              <w:spacing w:before="0" w:after="0"/>
              <w:ind w:left="180" w:right="0" w:hanging="0"/>
              <w:jc w:val="left"/>
              <w:rPr>
                <w:color w:val="000000"/>
              </w:rPr>
            </w:pPr>
            <w:r>
              <w:rPr>
                <w:color w:val="000000"/>
              </w:rPr>
              <w:t>Acquired developed technology</w:t>
            </w:r>
          </w:p>
        </w:tc>
        <w:tc>
          <w:tcPr>
            <w:tcW w:w="60" w:type="dxa"/>
            <w:tcBorders/>
            <w:shd w:fill="CCEEFF" w:val="clear"/>
            <w:vAlign w:val="bottom"/>
          </w:tcPr>
          <w:p>
            <w:pPr>
              <w:pStyle w:val="TableContents"/>
              <w:bidi w:val="0"/>
              <w:spacing w:before="0" w:after="283"/>
              <w:jc w:val="right"/>
              <w:rPr/>
            </w:pPr>
            <w:r>
              <w:rPr/>
              <w:t> </w:t>
            </w:r>
          </w:p>
        </w:tc>
        <w:tc>
          <w:tcPr>
            <w:tcW w:w="197" w:type="dxa"/>
            <w:tcBorders/>
            <w:shd w:fill="CCEEFF" w:val="clear"/>
            <w:vAlign w:val="bottom"/>
          </w:tcPr>
          <w:p>
            <w:pPr>
              <w:pStyle w:val="TableContents"/>
              <w:bidi w:val="0"/>
              <w:spacing w:before="0" w:after="0"/>
              <w:jc w:val="left"/>
              <w:rPr>
                <w:color w:val="000000"/>
              </w:rPr>
            </w:pPr>
            <w:r>
              <w:rPr>
                <w:color w:val="000000"/>
              </w:rPr>
              <w:t>$</w:t>
            </w:r>
          </w:p>
        </w:tc>
        <w:tc>
          <w:tcPr>
            <w:tcW w:w="788" w:type="dxa"/>
            <w:tcBorders/>
            <w:shd w:fill="CCEEFF" w:val="clear"/>
            <w:vAlign w:val="bottom"/>
          </w:tcPr>
          <w:p>
            <w:pPr>
              <w:pStyle w:val="TableContents"/>
              <w:bidi w:val="0"/>
              <w:spacing w:before="0" w:after="0"/>
              <w:jc w:val="right"/>
              <w:rPr>
                <w:color w:val="000000"/>
              </w:rPr>
            </w:pPr>
            <w:r>
              <w:rPr>
                <w:color w:val="000000"/>
              </w:rPr>
              <w:t>5,509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1" w:type="dxa"/>
            <w:tcBorders/>
            <w:shd w:fill="CCEEFF" w:val="clear"/>
            <w:vAlign w:val="bottom"/>
          </w:tcPr>
          <w:p>
            <w:pPr>
              <w:pStyle w:val="TableContents"/>
              <w:bidi w:val="0"/>
              <w:spacing w:before="0" w:after="0"/>
              <w:jc w:val="left"/>
              <w:rPr>
                <w:color w:val="000000"/>
              </w:rPr>
            </w:pPr>
            <w:r>
              <w:rPr>
                <w:color w:val="000000"/>
              </w:rPr>
              <w:t>$</w:t>
            </w:r>
          </w:p>
        </w:tc>
        <w:tc>
          <w:tcPr>
            <w:tcW w:w="1139" w:type="dxa"/>
            <w:tcBorders/>
            <w:shd w:fill="CCEEFF" w:val="clear"/>
            <w:vAlign w:val="bottom"/>
          </w:tcPr>
          <w:p>
            <w:pPr>
              <w:pStyle w:val="TableContents"/>
              <w:bidi w:val="0"/>
              <w:spacing w:before="0" w:after="0"/>
              <w:jc w:val="right"/>
              <w:rPr>
                <w:color w:val="000000"/>
              </w:rPr>
            </w:pPr>
            <w:r>
              <w:rPr>
                <w:color w:val="000000"/>
              </w:rPr>
              <w:t>(2,498</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281" w:type="dxa"/>
            <w:tcBorders/>
            <w:shd w:fill="CCEEFF" w:val="clear"/>
            <w:vAlign w:val="bottom"/>
          </w:tcPr>
          <w:p>
            <w:pPr>
              <w:pStyle w:val="TableContents"/>
              <w:bidi w:val="0"/>
              <w:spacing w:before="0" w:after="0"/>
              <w:jc w:val="left"/>
              <w:rPr>
                <w:color w:val="000000"/>
              </w:rPr>
            </w:pPr>
            <w:r>
              <w:rPr>
                <w:color w:val="000000"/>
              </w:rPr>
              <w:t>$</w:t>
            </w:r>
          </w:p>
        </w:tc>
        <w:tc>
          <w:tcPr>
            <w:tcW w:w="1124" w:type="dxa"/>
            <w:tcBorders/>
            <w:shd w:fill="CCEEFF" w:val="clear"/>
            <w:vAlign w:val="bottom"/>
          </w:tcPr>
          <w:p>
            <w:pPr>
              <w:pStyle w:val="TableContents"/>
              <w:bidi w:val="0"/>
              <w:spacing w:before="0" w:after="0"/>
              <w:jc w:val="right"/>
              <w:rPr>
                <w:color w:val="000000"/>
              </w:rPr>
            </w:pPr>
            <w:r>
              <w:rPr>
                <w:color w:val="000000"/>
              </w:rPr>
              <w:t>3,011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0"/>
              <w:jc w:val="right"/>
              <w:rPr>
                <w:color w:val="000000"/>
              </w:rPr>
            </w:pPr>
            <w:r>
              <w:rPr>
                <w:color w:val="000000"/>
              </w:rPr>
              <w:t>3.4</w:t>
            </w:r>
          </w:p>
        </w:tc>
        <w:tc>
          <w:tcPr>
            <w:tcW w:w="75" w:type="dxa"/>
            <w:tcBorders/>
            <w:shd w:fill="CCEEFF" w:val="clear"/>
            <w:vAlign w:val="bottom"/>
          </w:tcPr>
          <w:p>
            <w:pPr>
              <w:pStyle w:val="TableContents"/>
              <w:bidi w:val="0"/>
              <w:spacing w:before="0" w:after="283"/>
              <w:jc w:val="left"/>
              <w:rPr/>
            </w:pPr>
            <w:r>
              <w:rPr/>
              <w:t> </w:t>
            </w:r>
          </w:p>
        </w:tc>
      </w:tr>
      <w:tr>
        <w:trPr/>
        <w:tc>
          <w:tcPr>
            <w:tcW w:w="3065" w:type="dxa"/>
            <w:tcBorders/>
            <w:vAlign w:val="bottom"/>
          </w:tcPr>
          <w:p>
            <w:pPr>
              <w:pStyle w:val="TableContents"/>
              <w:bidi w:val="0"/>
              <w:spacing w:before="0" w:after="0"/>
              <w:ind w:left="180" w:right="0" w:hanging="0"/>
              <w:jc w:val="left"/>
              <w:rPr>
                <w:color w:val="000000"/>
              </w:rPr>
            </w:pPr>
            <w:r>
              <w:rPr>
                <w:color w:val="000000"/>
              </w:rPr>
              <w:t>Customer relationships</w:t>
            </w:r>
          </w:p>
        </w:tc>
        <w:tc>
          <w:tcPr>
            <w:tcW w:w="60" w:type="dxa"/>
            <w:tcBorders/>
            <w:vAlign w:val="bottom"/>
          </w:tcPr>
          <w:p>
            <w:pPr>
              <w:pStyle w:val="TableContents"/>
              <w:bidi w:val="0"/>
              <w:spacing w:before="0" w:after="283"/>
              <w:jc w:val="right"/>
              <w:rPr/>
            </w:pPr>
            <w:r>
              <w:rPr/>
              <w:t> </w:t>
            </w:r>
          </w:p>
        </w:tc>
        <w:tc>
          <w:tcPr>
            <w:tcW w:w="197" w:type="dxa"/>
            <w:tcBorders>
              <w:bottom w:val="single" w:sz="12" w:space="0" w:color="000000"/>
            </w:tcBorders>
            <w:tcMar>
              <w:bottom w:w="28" w:type="dxa"/>
            </w:tcMar>
            <w:vAlign w:val="bottom"/>
          </w:tcPr>
          <w:p>
            <w:pPr>
              <w:pStyle w:val="TableContents"/>
              <w:bidi w:val="0"/>
              <w:spacing w:before="0" w:after="283"/>
              <w:jc w:val="left"/>
              <w:rPr/>
            </w:pPr>
            <w:r>
              <w:rPr/>
              <w:t> </w:t>
            </w:r>
          </w:p>
        </w:tc>
        <w:tc>
          <w:tcPr>
            <w:tcW w:w="78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1"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(240</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281" w:type="dxa"/>
            <w:tcBorders>
              <w:bottom w:val="single" w:sz="12" w:space="0" w:color="000000"/>
            </w:tcBorders>
            <w:tcMar>
              <w:bottom w:w="28" w:type="dxa"/>
            </w:tcMar>
            <w:vAlign w:val="bottom"/>
          </w:tcPr>
          <w:p>
            <w:pPr>
              <w:pStyle w:val="TableContents"/>
              <w:bidi w:val="0"/>
              <w:spacing w:before="0" w:after="283"/>
              <w:jc w:val="left"/>
              <w:rPr/>
            </w:pPr>
            <w:r>
              <w:rPr/>
              <w:t> </w:t>
            </w:r>
          </w:p>
        </w:tc>
        <w:tc>
          <w:tcPr>
            <w:tcW w:w="112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289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0"/>
              <w:jc w:val="right"/>
              <w:rPr>
                <w:color w:val="000000"/>
              </w:rPr>
            </w:pPr>
            <w:r>
              <w:rPr>
                <w:color w:val="000000"/>
              </w:rPr>
              <w:t>3.4</w:t>
            </w:r>
          </w:p>
        </w:tc>
        <w:tc>
          <w:tcPr>
            <w:tcW w:w="75" w:type="dxa"/>
            <w:tcBorders/>
            <w:vAlign w:val="bottom"/>
          </w:tcPr>
          <w:p>
            <w:pPr>
              <w:pStyle w:val="TableContents"/>
              <w:bidi w:val="0"/>
              <w:spacing w:before="0" w:after="283"/>
              <w:jc w:val="left"/>
              <w:rPr/>
            </w:pPr>
            <w:r>
              <w:rPr/>
              <w:t> </w:t>
            </w:r>
          </w:p>
        </w:tc>
      </w:tr>
      <w:tr>
        <w:trPr/>
        <w:tc>
          <w:tcPr>
            <w:tcW w:w="3065" w:type="dxa"/>
            <w:tcBorders/>
            <w:shd w:fill="CCEEFF" w:val="clear"/>
            <w:vAlign w:val="bottom"/>
          </w:tcPr>
          <w:p>
            <w:pPr>
              <w:pStyle w:val="TableContents"/>
              <w:bidi w:val="0"/>
              <w:spacing w:before="0" w:after="0"/>
              <w:ind w:left="360" w:right="0" w:hanging="0"/>
              <w:jc w:val="left"/>
              <w:rPr>
                <w:color w:val="000000"/>
              </w:rPr>
            </w:pPr>
            <w:r>
              <w:rPr>
                <w:color w:val="000000"/>
              </w:rPr>
              <w:t>Total intangible assets acquired</w:t>
            </w:r>
          </w:p>
        </w:tc>
        <w:tc>
          <w:tcPr>
            <w:tcW w:w="60" w:type="dxa"/>
            <w:tcBorders/>
            <w:shd w:fill="CCEEFF" w:val="clear"/>
            <w:vAlign w:val="bottom"/>
          </w:tcPr>
          <w:p>
            <w:pPr>
              <w:pStyle w:val="TableContents"/>
              <w:bidi w:val="0"/>
              <w:spacing w:before="0" w:after="283"/>
              <w:jc w:val="right"/>
              <w:rPr/>
            </w:pPr>
            <w:r>
              <w:rPr/>
              <w:t> </w:t>
            </w:r>
          </w:p>
        </w:tc>
        <w:tc>
          <w:tcPr>
            <w:tcW w:w="197"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88"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6,038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1"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3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(2,738</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281"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24"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3,300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Amortization expense of finite-lived intangible assets was $0.3 million for the three months ended June 30, 2026 and 2025, respectively, and $0.5 million for the six months ended June 30, 2026 and 2025, respectively.</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following table summarizes the Company’s estimated future amortization expense of finite-lived intangible assets as of June 30, 2026 (in thousands):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2" w:name="z875ff421c6334444bbea4af4f61c2a09"/>
      <w:bookmarkStart w:id="53" w:name="z875ff421c6334444bbea4af4f61c2a09"/>
      <w:bookmarkEnd w:id="53"/>
    </w:p>
    <w:tbl>
      <w:tblPr>
        <w:tblW w:w="3225" w:type="dxa"/>
        <w:jc w:val="left"/>
        <w:tblInd w:w="0" w:type="dxa"/>
        <w:tblLayout w:type="fixed"/>
        <w:tblCellMar>
          <w:top w:w="0" w:type="dxa"/>
          <w:left w:w="0" w:type="dxa"/>
          <w:bottom w:w="0" w:type="dxa"/>
          <w:right w:w="0" w:type="dxa"/>
        </w:tblCellMar>
      </w:tblPr>
      <w:tblGrid>
        <w:gridCol w:w="2390"/>
        <w:gridCol w:w="60"/>
        <w:gridCol w:w="140"/>
        <w:gridCol w:w="560"/>
        <w:gridCol w:w="75"/>
      </w:tblGrid>
      <w:tr>
        <w:trPr/>
        <w:tc>
          <w:tcPr>
            <w:tcW w:w="2390" w:type="dxa"/>
            <w:tcBorders/>
            <w:vAlign w:val="bottom"/>
          </w:tcPr>
          <w:p>
            <w:pPr>
              <w:pStyle w:val="TableContents"/>
              <w:bidi w:val="0"/>
              <w:spacing w:before="0" w:after="0"/>
              <w:jc w:val="left"/>
              <w:rPr>
                <w:b/>
                <w:color w:val="000000"/>
              </w:rPr>
            </w:pPr>
            <w:r>
              <w:rPr>
                <w:b/>
                <w:color w:val="000000"/>
              </w:rPr>
              <w:t>Year Ending June 30,</w:t>
            </w:r>
          </w:p>
        </w:tc>
        <w:tc>
          <w:tcPr>
            <w:tcW w:w="60" w:type="dxa"/>
            <w:tcBorders/>
            <w:vAlign w:val="bottom"/>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bottom"/>
          </w:tcPr>
          <w:p>
            <w:pPr>
              <w:pStyle w:val="TableContents"/>
              <w:bidi w:val="0"/>
              <w:spacing w:before="0" w:after="0"/>
              <w:ind w:left="0" w:right="0" w:firstLine="20"/>
              <w:jc w:val="center"/>
              <w:rPr>
                <w:b/>
                <w:color w:val="000000"/>
              </w:rPr>
            </w:pPr>
            <w:r>
              <w:rPr>
                <w:b/>
                <w:color w:val="000000"/>
              </w:rPr>
              <w:t>Total</w:t>
            </w:r>
          </w:p>
        </w:tc>
        <w:tc>
          <w:tcPr>
            <w:tcW w:w="75" w:type="dxa"/>
            <w:tcBorders/>
            <w:vAlign w:val="bottom"/>
          </w:tcPr>
          <w:p>
            <w:pPr>
              <w:pStyle w:val="TableContents"/>
              <w:bidi w:val="0"/>
              <w:spacing w:before="0" w:after="283"/>
              <w:jc w:val="left"/>
              <w:rPr/>
            </w:pPr>
            <w:r>
              <w:rPr/>
              <w:t> </w:t>
            </w:r>
          </w:p>
        </w:tc>
      </w:tr>
      <w:tr>
        <w:trPr/>
        <w:tc>
          <w:tcPr>
            <w:tcW w:w="2390" w:type="dxa"/>
            <w:tcBorders/>
            <w:shd w:fill="CCEEFF" w:val="clear"/>
            <w:vAlign w:val="bottom"/>
          </w:tcPr>
          <w:p>
            <w:pPr>
              <w:pStyle w:val="TableContents"/>
              <w:bidi w:val="0"/>
              <w:spacing w:before="0" w:after="0"/>
              <w:jc w:val="left"/>
              <w:rPr>
                <w:color w:val="000000"/>
              </w:rPr>
            </w:pPr>
            <w:r>
              <w:rPr>
                <w:color w:val="000000"/>
              </w:rPr>
              <w:t>2026 (remainder of year)</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560" w:type="dxa"/>
            <w:tcBorders/>
            <w:shd w:fill="CCEEFF" w:val="clear"/>
            <w:vAlign w:val="bottom"/>
          </w:tcPr>
          <w:p>
            <w:pPr>
              <w:pStyle w:val="TableContents"/>
              <w:bidi w:val="0"/>
              <w:spacing w:before="0" w:after="0"/>
              <w:jc w:val="right"/>
              <w:rPr>
                <w:color w:val="000000"/>
              </w:rPr>
            </w:pPr>
            <w:r>
              <w:rPr>
                <w:color w:val="000000"/>
              </w:rPr>
              <w:t>464</w:t>
            </w:r>
          </w:p>
        </w:tc>
        <w:tc>
          <w:tcPr>
            <w:tcW w:w="75" w:type="dxa"/>
            <w:tcBorders/>
            <w:shd w:fill="CCEEFF" w:val="clear"/>
            <w:vAlign w:val="bottom"/>
          </w:tcPr>
          <w:p>
            <w:pPr>
              <w:pStyle w:val="TableContents"/>
              <w:bidi w:val="0"/>
              <w:spacing w:before="0" w:after="283"/>
              <w:jc w:val="left"/>
              <w:rPr/>
            </w:pPr>
            <w:r>
              <w:rPr/>
              <w:t> </w:t>
            </w:r>
          </w:p>
        </w:tc>
      </w:tr>
      <w:tr>
        <w:trPr/>
        <w:tc>
          <w:tcPr>
            <w:tcW w:w="2390" w:type="dxa"/>
            <w:tcBorders/>
            <w:vAlign w:val="bottom"/>
          </w:tcPr>
          <w:p>
            <w:pPr>
              <w:pStyle w:val="TableContents"/>
              <w:bidi w:val="0"/>
              <w:spacing w:before="0" w:after="0"/>
              <w:jc w:val="left"/>
              <w:rPr>
                <w:color w:val="000000"/>
              </w:rPr>
            </w:pPr>
            <w:r>
              <w:rPr>
                <w:color w:val="000000"/>
              </w:rPr>
              <w:t>2027</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color w:val="000000"/>
              </w:rPr>
            </w:pPr>
            <w:r>
              <w:rPr>
                <w:color w:val="000000"/>
              </w:rPr>
              <w:t>1,006</w:t>
            </w:r>
          </w:p>
        </w:tc>
        <w:tc>
          <w:tcPr>
            <w:tcW w:w="75" w:type="dxa"/>
            <w:tcBorders/>
            <w:vAlign w:val="bottom"/>
          </w:tcPr>
          <w:p>
            <w:pPr>
              <w:pStyle w:val="TableContents"/>
              <w:bidi w:val="0"/>
              <w:spacing w:before="0" w:after="283"/>
              <w:jc w:val="left"/>
              <w:rPr/>
            </w:pPr>
            <w:r>
              <w:rPr/>
              <w:t> </w:t>
            </w:r>
          </w:p>
        </w:tc>
      </w:tr>
      <w:tr>
        <w:trPr/>
        <w:tc>
          <w:tcPr>
            <w:tcW w:w="2390" w:type="dxa"/>
            <w:tcBorders/>
            <w:shd w:fill="CCEEFF" w:val="clear"/>
            <w:vAlign w:val="bottom"/>
          </w:tcPr>
          <w:p>
            <w:pPr>
              <w:pStyle w:val="TableContents"/>
              <w:bidi w:val="0"/>
              <w:spacing w:before="0" w:after="0"/>
              <w:jc w:val="left"/>
              <w:rPr>
                <w:color w:val="000000"/>
              </w:rPr>
            </w:pPr>
            <w:r>
              <w:rPr>
                <w:color w:val="000000"/>
              </w:rPr>
              <w:t>2028</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color w:val="000000"/>
              </w:rPr>
            </w:pPr>
            <w:r>
              <w:rPr>
                <w:color w:val="000000"/>
              </w:rPr>
              <w:t>1,006</w:t>
            </w:r>
          </w:p>
        </w:tc>
        <w:tc>
          <w:tcPr>
            <w:tcW w:w="75" w:type="dxa"/>
            <w:tcBorders/>
            <w:shd w:fill="CCEEFF" w:val="clear"/>
            <w:vAlign w:val="bottom"/>
          </w:tcPr>
          <w:p>
            <w:pPr>
              <w:pStyle w:val="TableContents"/>
              <w:bidi w:val="0"/>
              <w:spacing w:before="0" w:after="283"/>
              <w:jc w:val="left"/>
              <w:rPr/>
            </w:pPr>
            <w:r>
              <w:rPr/>
              <w:t> </w:t>
            </w:r>
          </w:p>
        </w:tc>
      </w:tr>
      <w:tr>
        <w:trPr/>
        <w:tc>
          <w:tcPr>
            <w:tcW w:w="2390" w:type="dxa"/>
            <w:tcBorders/>
            <w:vAlign w:val="bottom"/>
          </w:tcPr>
          <w:p>
            <w:pPr>
              <w:pStyle w:val="TableContents"/>
              <w:bidi w:val="0"/>
              <w:spacing w:before="0" w:after="0"/>
              <w:jc w:val="left"/>
              <w:rPr>
                <w:color w:val="000000"/>
              </w:rPr>
            </w:pPr>
            <w:r>
              <w:rPr>
                <w:color w:val="000000"/>
              </w:rPr>
              <w:t>2029</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282</w:t>
            </w:r>
          </w:p>
        </w:tc>
        <w:tc>
          <w:tcPr>
            <w:tcW w:w="75" w:type="dxa"/>
            <w:tcBorders/>
            <w:vAlign w:val="bottom"/>
          </w:tcPr>
          <w:p>
            <w:pPr>
              <w:pStyle w:val="TableContents"/>
              <w:bidi w:val="0"/>
              <w:spacing w:before="0" w:after="283"/>
              <w:jc w:val="left"/>
              <w:rPr/>
            </w:pPr>
            <w:r>
              <w:rPr/>
              <w:t> </w:t>
            </w:r>
          </w:p>
        </w:tc>
      </w:tr>
      <w:tr>
        <w:trPr/>
        <w:tc>
          <w:tcPr>
            <w:tcW w:w="2390" w:type="dxa"/>
            <w:tcBorders/>
            <w:shd w:fill="CCEEFF" w:val="clear"/>
            <w:vAlign w:val="bottom"/>
          </w:tcPr>
          <w:p>
            <w:pPr>
              <w:pStyle w:val="TableContents"/>
              <w:bidi w:val="0"/>
              <w:spacing w:before="0" w:after="0"/>
              <w:ind w:left="180" w:right="0" w:hanging="0"/>
              <w:jc w:val="left"/>
              <w:rPr>
                <w:color w:val="000000"/>
              </w:rPr>
            </w:pPr>
            <w:r>
              <w:rPr>
                <w:color w:val="000000"/>
              </w:rPr>
              <w:t>Total</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56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2,758</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Note 3— Fair Value Measurements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The preparation of the Company’s unaudited interim condensed consolidated financial statements in accordance with U.S. GAAP requires certain assets and liabilities to be reflected at their fair value. Fair value is defined as the exchange price, or exit price, representing the amount that would be received to sell an asset or paid to transfer a liability in an orderly transaction between market participants on the measurement date. Valuation techniques used to measure fair value must maximize the use of observable inputs and minimize the use of unobservable inputs. The fair value hierarchy contains three levels of inputs that may be used to measure fair value, in accordance with ASC 820, </w:t>
      </w:r>
      <w:r>
        <w:rPr>
          <w:rFonts w:ascii="Times New Roman" w:hAnsi="Times New Roman"/>
          <w:i/>
          <w:color w:val="000000"/>
          <w:sz w:val="20"/>
        </w:rPr>
        <w:t>Fair Value Measurement</w:t>
      </w:r>
      <w:r>
        <w:rPr>
          <w:rFonts w:ascii="Times New Roman" w:hAnsi="Times New Roman"/>
          <w:color w:val="000000"/>
          <w:sz w:val="20"/>
        </w:rPr>
        <w:t>, the first two are considered observable and the last is considered unobservable. These levels are as follows: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4" w:name="z19cfbe3fdfed4046a290e1b0969d8be6"/>
      <w:bookmarkStart w:id="55" w:name="z19cfbe3fdfed4046a290e1b0969d8be6"/>
      <w:bookmarkEnd w:id="55"/>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Level 1—inputs, which include unadjusted quoted prices in active markets for identical assets or liabilities that the Company has the ability to access;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6" w:name="zf4ab369d39de4f7b9d9d323ff3fda1f4"/>
      <w:bookmarkStart w:id="57" w:name="zf4ab369d39de4f7b9d9d323ff3fda1f4"/>
      <w:bookmarkEnd w:id="57"/>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left"/>
              <w:rPr>
                <w:color w:val="000000"/>
              </w:rPr>
            </w:pPr>
            <w:r>
              <w:rPr>
                <w:color w:val="000000"/>
              </w:rPr>
              <w:t>Level 2— inputs, which include observable inputs other than Level 1 inputs, such as quoted prices for similar assets or liabilities in active markets, quoted prices for identical or similar assets or liabilities in markets that are not active, or other inputs that are observable or can be corroborated by observable market data for substantially the full term of the asset or liability;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8" w:name="z60cb0a477c8f481e901ecbdd80eab44e"/>
      <w:bookmarkStart w:id="59" w:name="z60cb0a477c8f481e901ecbdd80eab44e"/>
      <w:bookmarkEnd w:id="59"/>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left"/>
              <w:rPr>
                <w:color w:val="000000"/>
              </w:rPr>
            </w:pPr>
            <w:r>
              <w:rPr>
                <w:color w:val="000000"/>
              </w:rPr>
              <w:t>Level 3— inputs, which include unobservable inputs that are supported by little or no market activity and that are significant to the fair value of the underlying asset or liability. Level 3 assets and liabilities include those whose fair value measurements are determined using pricing models, discounted cash flow methodologies, or similar valuation techniques, as well as significant management judgment or estimation.</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To the extent the valuation is based on models or inputs that are less observable or unobservable in the market, the determination of fair value requires more judgment. Accordingly, the degree of judgment exercised by the Company in determining fair</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value is greatest for instruments categorized in Level 3. Marketable securities that are classified as available-for-sale are recorded at estimated fair value and are included in Level 1 or Level 2 of the fair value hierarchy. The Company classifies its money market funds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and U.S. treasury securities, which are valued based on quoted market prices in active markets with no valuation adjustment, as Level 1 assets within the fair value hierarchy.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categorization of a financial instrument within the valuation hierarchy is based upon the lowest level of input that is significant to the fair value measurement. The carrying value of cash, accounts payable, accrued expenses and other current liabilities and convertible note, related party approximate fair value because of the short-term nature of those instruments.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following table summarizes the Company’s financial assets and liabilities measured at fair value on a recurring basis and their respective input levels based on the fair value hierarchy (in thousands):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0" w:name="zc92d5e451542455da45d0011936a9bad"/>
      <w:bookmarkStart w:id="61" w:name="zc92d5e451542455da45d0011936a9bad"/>
      <w:bookmarkEnd w:id="61"/>
    </w:p>
    <w:tbl>
      <w:tblPr>
        <w:tblW w:w="10205" w:type="dxa"/>
        <w:jc w:val="left"/>
        <w:tblInd w:w="0" w:type="dxa"/>
        <w:tblLayout w:type="fixed"/>
        <w:tblCellMar>
          <w:top w:w="0" w:type="dxa"/>
          <w:left w:w="0" w:type="dxa"/>
          <w:bottom w:w="0" w:type="dxa"/>
          <w:right w:w="0" w:type="dxa"/>
        </w:tblCellMar>
      </w:tblPr>
      <w:tblGrid>
        <w:gridCol w:w="6483"/>
        <w:gridCol w:w="60"/>
        <w:gridCol w:w="140"/>
        <w:gridCol w:w="680"/>
        <w:gridCol w:w="60"/>
        <w:gridCol w:w="60"/>
        <w:gridCol w:w="267"/>
        <w:gridCol w:w="499"/>
        <w:gridCol w:w="60"/>
        <w:gridCol w:w="60"/>
        <w:gridCol w:w="140"/>
        <w:gridCol w:w="680"/>
        <w:gridCol w:w="60"/>
        <w:gridCol w:w="60"/>
        <w:gridCol w:w="140"/>
        <w:gridCol w:w="680"/>
        <w:gridCol w:w="76"/>
      </w:tblGrid>
      <w:tr>
        <w:trPr/>
        <w:tc>
          <w:tcPr>
            <w:tcW w:w="64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86" w:type="dxa"/>
            <w:gridSpan w:val="14"/>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June 30, 2026</w:t>
            </w:r>
          </w:p>
        </w:tc>
        <w:tc>
          <w:tcPr>
            <w:tcW w:w="76" w:type="dxa"/>
            <w:tcBorders/>
            <w:vAlign w:val="bottom"/>
          </w:tcPr>
          <w:p>
            <w:pPr>
              <w:pStyle w:val="TableContents"/>
              <w:bidi w:val="0"/>
              <w:spacing w:before="0" w:after="283"/>
              <w:jc w:val="left"/>
              <w:rPr/>
            </w:pPr>
            <w:r>
              <w:rPr/>
              <w:t> </w:t>
            </w:r>
          </w:p>
        </w:tc>
      </w:tr>
      <w:tr>
        <w:trPr/>
        <w:tc>
          <w:tcPr>
            <w:tcW w:w="648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ind w:left="0" w:right="0" w:firstLine="20"/>
              <w:jc w:val="center"/>
              <w:rPr>
                <w:b/>
                <w:color w:val="000000"/>
              </w:rPr>
            </w:pPr>
            <w:r>
              <w:rPr>
                <w:b/>
                <w:color w:val="000000"/>
              </w:rPr>
              <w:t>Level 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6" w:type="dxa"/>
            <w:gridSpan w:val="2"/>
            <w:tcBorders>
              <w:bottom w:val="single" w:sz="12" w:space="0" w:color="000000"/>
            </w:tcBorders>
            <w:tcMar>
              <w:bottom w:w="28" w:type="dxa"/>
            </w:tcMar>
            <w:vAlign w:val="bottom"/>
          </w:tcPr>
          <w:p>
            <w:pPr>
              <w:pStyle w:val="TableContents"/>
              <w:bidi w:val="0"/>
              <w:spacing w:before="0" w:after="0"/>
              <w:ind w:left="0" w:right="0" w:firstLine="20"/>
              <w:jc w:val="center"/>
              <w:rPr>
                <w:b/>
                <w:color w:val="000000"/>
              </w:rPr>
            </w:pPr>
            <w:r>
              <w:rPr>
                <w:b/>
                <w:color w:val="000000"/>
              </w:rPr>
              <w:t>Level 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ind w:left="0" w:right="0" w:firstLine="20"/>
              <w:jc w:val="center"/>
              <w:rPr>
                <w:b/>
                <w:color w:val="000000"/>
              </w:rPr>
            </w:pPr>
            <w:r>
              <w:rPr>
                <w:b/>
                <w:color w:val="000000"/>
              </w:rPr>
              <w:t>Level 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ind w:left="0" w:right="0" w:firstLine="20"/>
              <w:jc w:val="center"/>
              <w:rPr>
                <w:b/>
                <w:color w:val="000000"/>
              </w:rPr>
            </w:pPr>
            <w:r>
              <w:rPr>
                <w:b/>
                <w:color w:val="000000"/>
              </w:rPr>
              <w:t>Total</w:t>
            </w:r>
          </w:p>
        </w:tc>
        <w:tc>
          <w:tcPr>
            <w:tcW w:w="76" w:type="dxa"/>
            <w:tcBorders/>
            <w:vAlign w:val="bottom"/>
          </w:tcPr>
          <w:p>
            <w:pPr>
              <w:pStyle w:val="TableContents"/>
              <w:bidi w:val="0"/>
              <w:spacing w:before="0" w:after="283"/>
              <w:jc w:val="left"/>
              <w:rPr/>
            </w:pPr>
            <w:r>
              <w:rPr/>
              <w:t> </w:t>
            </w:r>
          </w:p>
        </w:tc>
      </w:tr>
      <w:tr>
        <w:trPr/>
        <w:tc>
          <w:tcPr>
            <w:tcW w:w="6483" w:type="dxa"/>
            <w:tcBorders/>
            <w:vAlign w:val="bottom"/>
          </w:tcPr>
          <w:p>
            <w:pPr>
              <w:pStyle w:val="TableContents"/>
              <w:bidi w:val="0"/>
              <w:spacing w:before="0" w:after="0"/>
              <w:ind w:left="0" w:right="62" w:hanging="0"/>
              <w:jc w:val="both"/>
              <w:rPr>
                <w:b/>
                <w:color w:val="000000"/>
              </w:rPr>
            </w:pPr>
            <w:r>
              <w:rPr>
                <w:b/>
                <w:color w:val="000000"/>
              </w:rPr>
              <w:t>Assets:</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r>
      <w:tr>
        <w:trPr/>
        <w:tc>
          <w:tcPr>
            <w:tcW w:w="6483" w:type="dxa"/>
            <w:tcBorders/>
            <w:vAlign w:val="bottom"/>
          </w:tcPr>
          <w:p>
            <w:pPr>
              <w:pStyle w:val="TableContents"/>
              <w:bidi w:val="0"/>
              <w:spacing w:before="0" w:after="0"/>
              <w:ind w:left="0" w:right="62" w:hanging="0"/>
              <w:jc w:val="both"/>
              <w:rPr>
                <w:color w:val="000000"/>
              </w:rPr>
            </w:pPr>
            <w:r>
              <w:rPr>
                <w:color w:val="000000"/>
              </w:rPr>
              <w:t>Cash equivalents:</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r>
      <w:tr>
        <w:trPr/>
        <w:tc>
          <w:tcPr>
            <w:tcW w:w="6483" w:type="dxa"/>
            <w:tcBorders/>
            <w:shd w:fill="CCEEFF" w:val="clear"/>
            <w:vAlign w:val="bottom"/>
          </w:tcPr>
          <w:p>
            <w:pPr>
              <w:pStyle w:val="TableContents"/>
              <w:bidi w:val="0"/>
              <w:spacing w:before="0" w:after="0"/>
              <w:ind w:left="180" w:right="0" w:hanging="0"/>
              <w:jc w:val="left"/>
              <w:rPr>
                <w:color w:val="000000"/>
              </w:rPr>
            </w:pPr>
            <w:r>
              <w:rPr>
                <w:color w:val="000000"/>
              </w:rPr>
              <w:t>Money market funds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80" w:type="dxa"/>
            <w:tcBorders/>
            <w:shd w:fill="CCEEFF" w:val="clear"/>
            <w:vAlign w:val="bottom"/>
          </w:tcPr>
          <w:p>
            <w:pPr>
              <w:pStyle w:val="TableContents"/>
              <w:bidi w:val="0"/>
              <w:spacing w:before="0" w:after="0"/>
              <w:jc w:val="right"/>
              <w:rPr>
                <w:color w:val="000000"/>
              </w:rPr>
            </w:pPr>
            <w:r>
              <w:rPr>
                <w:color w:val="000000"/>
              </w:rPr>
              <w:t>50,261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67" w:type="dxa"/>
            <w:tcBorders/>
            <w:shd w:fill="CCEEFF" w:val="clear"/>
            <w:vAlign w:val="bottom"/>
          </w:tcPr>
          <w:p>
            <w:pPr>
              <w:pStyle w:val="TableContents"/>
              <w:bidi w:val="0"/>
              <w:spacing w:before="0" w:after="0"/>
              <w:jc w:val="left"/>
              <w:rPr>
                <w:color w:val="000000"/>
              </w:rPr>
            </w:pPr>
            <w:r>
              <w:rPr>
                <w:color w:val="000000"/>
              </w:rPr>
              <w:t>$</w:t>
            </w:r>
          </w:p>
        </w:tc>
        <w:tc>
          <w:tcPr>
            <w:tcW w:w="499"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8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80" w:type="dxa"/>
            <w:tcBorders/>
            <w:shd w:fill="CCEEFF" w:val="clear"/>
            <w:vAlign w:val="bottom"/>
          </w:tcPr>
          <w:p>
            <w:pPr>
              <w:pStyle w:val="TableContents"/>
              <w:bidi w:val="0"/>
              <w:spacing w:before="0" w:after="0"/>
              <w:jc w:val="right"/>
              <w:rPr>
                <w:color w:val="000000"/>
              </w:rPr>
            </w:pPr>
            <w:r>
              <w:rPr>
                <w:color w:val="000000"/>
              </w:rPr>
              <w:t>50,261</w:t>
            </w:r>
          </w:p>
        </w:tc>
        <w:tc>
          <w:tcPr>
            <w:tcW w:w="76" w:type="dxa"/>
            <w:tcBorders/>
            <w:shd w:fill="CCEEFF" w:val="clear"/>
            <w:vAlign w:val="bottom"/>
          </w:tcPr>
          <w:p>
            <w:pPr>
              <w:pStyle w:val="TableContents"/>
              <w:bidi w:val="0"/>
              <w:spacing w:before="0" w:after="283"/>
              <w:jc w:val="left"/>
              <w:rPr/>
            </w:pPr>
            <w:r>
              <w:rPr/>
              <w:t> </w:t>
            </w:r>
          </w:p>
        </w:tc>
      </w:tr>
      <w:tr>
        <w:trPr/>
        <w:tc>
          <w:tcPr>
            <w:tcW w:w="6483" w:type="dxa"/>
            <w:tcBorders/>
            <w:vAlign w:val="bottom"/>
          </w:tcPr>
          <w:p>
            <w:pPr>
              <w:pStyle w:val="TableContents"/>
              <w:bidi w:val="0"/>
              <w:spacing w:before="0" w:after="0"/>
              <w:ind w:left="180" w:right="0" w:hanging="0"/>
              <w:jc w:val="left"/>
              <w:rPr>
                <w:color w:val="000000"/>
              </w:rPr>
            </w:pPr>
            <w:r>
              <w:rPr>
                <w:color w:val="000000"/>
              </w:rPr>
              <w:t>U.S. treasury securities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17,658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67" w:type="dxa"/>
            <w:tcBorders>
              <w:bottom w:val="single" w:sz="12" w:space="0" w:color="000000"/>
            </w:tcBorders>
            <w:tcMar>
              <w:bottom w:w="28" w:type="dxa"/>
            </w:tcMar>
            <w:vAlign w:val="bottom"/>
          </w:tcPr>
          <w:p>
            <w:pPr>
              <w:pStyle w:val="TableContents"/>
              <w:bidi w:val="0"/>
              <w:spacing w:before="0" w:after="283"/>
              <w:jc w:val="left"/>
              <w:rPr/>
            </w:pPr>
            <w:r>
              <w:rPr/>
              <w:t> </w:t>
            </w:r>
          </w:p>
        </w:tc>
        <w:tc>
          <w:tcPr>
            <w:tcW w:w="49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17,658</w:t>
            </w:r>
          </w:p>
        </w:tc>
        <w:tc>
          <w:tcPr>
            <w:tcW w:w="76" w:type="dxa"/>
            <w:tcBorders/>
            <w:vAlign w:val="bottom"/>
          </w:tcPr>
          <w:p>
            <w:pPr>
              <w:pStyle w:val="TableContents"/>
              <w:bidi w:val="0"/>
              <w:spacing w:before="0" w:after="283"/>
              <w:jc w:val="left"/>
              <w:rPr/>
            </w:pPr>
            <w:r>
              <w:rPr/>
              <w:t> </w:t>
            </w:r>
          </w:p>
        </w:tc>
      </w:tr>
      <w:tr>
        <w:trPr/>
        <w:tc>
          <w:tcPr>
            <w:tcW w:w="6483" w:type="dxa"/>
            <w:tcBorders/>
            <w:shd w:fill="CCEEFF" w:val="clear"/>
            <w:vAlign w:val="bottom"/>
          </w:tcPr>
          <w:p>
            <w:pPr>
              <w:pStyle w:val="TableContents"/>
              <w:bidi w:val="0"/>
              <w:spacing w:before="0" w:after="0"/>
              <w:ind w:left="360" w:right="0" w:hanging="0"/>
              <w:jc w:val="left"/>
              <w:rPr>
                <w:color w:val="000000"/>
              </w:rPr>
            </w:pPr>
            <w:r>
              <w:rPr>
                <w:color w:val="000000"/>
              </w:rPr>
              <w:t>Total cash equivalents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color w:val="000000"/>
              </w:rPr>
            </w:pPr>
            <w:r>
              <w:rPr>
                <w:color w:val="000000"/>
              </w:rPr>
              <w:t>67,919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67"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color w:val="000000"/>
              </w:rPr>
            </w:pPr>
            <w:r>
              <w:rPr>
                <w:color w:val="000000"/>
              </w:rPr>
              <w:t>67,919</w:t>
            </w:r>
          </w:p>
        </w:tc>
        <w:tc>
          <w:tcPr>
            <w:tcW w:w="76" w:type="dxa"/>
            <w:tcBorders/>
            <w:shd w:fill="CCEEFF" w:val="clear"/>
            <w:vAlign w:val="bottom"/>
          </w:tcPr>
          <w:p>
            <w:pPr>
              <w:pStyle w:val="TableContents"/>
              <w:bidi w:val="0"/>
              <w:spacing w:before="0" w:after="283"/>
              <w:jc w:val="left"/>
              <w:rPr/>
            </w:pPr>
            <w:r>
              <w:rPr/>
              <w:t> </w:t>
            </w:r>
          </w:p>
        </w:tc>
      </w:tr>
      <w:tr>
        <w:trPr/>
        <w:tc>
          <w:tcPr>
            <w:tcW w:w="6483" w:type="dxa"/>
            <w:tcBorders/>
            <w:vAlign w:val="bottom"/>
          </w:tcPr>
          <w:p>
            <w:pPr>
              <w:pStyle w:val="TableContents"/>
              <w:bidi w:val="0"/>
              <w:spacing w:before="0" w:after="0"/>
              <w:ind w:left="0" w:right="62" w:hanging="0"/>
              <w:jc w:val="both"/>
              <w:rPr>
                <w:color w:val="000000"/>
              </w:rPr>
            </w:pPr>
            <w:r>
              <w:rPr>
                <w:color w:val="000000"/>
              </w:rPr>
              <w:t>Short-term marketable securities: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67"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76" w:type="dxa"/>
            <w:tcBorders/>
            <w:vAlign w:val="bottom"/>
          </w:tcPr>
          <w:p>
            <w:pPr>
              <w:pStyle w:val="TableContents"/>
              <w:bidi w:val="0"/>
              <w:spacing w:before="0" w:after="283"/>
              <w:jc w:val="left"/>
              <w:rPr/>
            </w:pPr>
            <w:r>
              <w:rPr/>
              <w:t> </w:t>
            </w:r>
          </w:p>
        </w:tc>
      </w:tr>
      <w:tr>
        <w:trPr/>
        <w:tc>
          <w:tcPr>
            <w:tcW w:w="6483" w:type="dxa"/>
            <w:tcBorders/>
            <w:shd w:fill="CCEEFF" w:val="clear"/>
            <w:vAlign w:val="bottom"/>
          </w:tcPr>
          <w:p>
            <w:pPr>
              <w:pStyle w:val="TableContents"/>
              <w:bidi w:val="0"/>
              <w:spacing w:before="0" w:after="0"/>
              <w:ind w:left="180" w:right="0" w:hanging="0"/>
              <w:jc w:val="left"/>
              <w:rPr>
                <w:color w:val="000000"/>
              </w:rPr>
            </w:pPr>
            <w:r>
              <w:rPr>
                <w:color w:val="000000"/>
              </w:rPr>
              <w:t>U.S. treasury securities</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16,557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6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9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16,557</w:t>
            </w:r>
          </w:p>
        </w:tc>
        <w:tc>
          <w:tcPr>
            <w:tcW w:w="76" w:type="dxa"/>
            <w:tcBorders/>
            <w:shd w:fill="CCEEFF" w:val="clear"/>
            <w:vAlign w:val="bottom"/>
          </w:tcPr>
          <w:p>
            <w:pPr>
              <w:pStyle w:val="TableContents"/>
              <w:bidi w:val="0"/>
              <w:spacing w:before="0" w:after="283"/>
              <w:jc w:val="left"/>
              <w:rPr/>
            </w:pPr>
            <w:r>
              <w:rPr/>
              <w:t> </w:t>
            </w:r>
          </w:p>
        </w:tc>
      </w:tr>
      <w:tr>
        <w:trPr/>
        <w:tc>
          <w:tcPr>
            <w:tcW w:w="6483" w:type="dxa"/>
            <w:tcBorders/>
            <w:vAlign w:val="bottom"/>
          </w:tcPr>
          <w:p>
            <w:pPr>
              <w:pStyle w:val="TableContents"/>
              <w:bidi w:val="0"/>
              <w:spacing w:before="0" w:after="0"/>
              <w:ind w:left="360" w:right="0" w:hanging="0"/>
              <w:jc w:val="left"/>
              <w:rPr>
                <w:color w:val="000000"/>
              </w:rPr>
            </w:pPr>
            <w:r>
              <w:rPr>
                <w:color w:val="000000"/>
              </w:rPr>
              <w:t>Total short-term marketable securities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16,557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67" w:type="dxa"/>
            <w:tcBorders>
              <w:bottom w:val="single" w:sz="12" w:space="0" w:color="000000"/>
            </w:tcBorders>
            <w:tcMar>
              <w:bottom w:w="28" w:type="dxa"/>
            </w:tcMar>
            <w:vAlign w:val="bottom"/>
          </w:tcPr>
          <w:p>
            <w:pPr>
              <w:pStyle w:val="TableContents"/>
              <w:bidi w:val="0"/>
              <w:spacing w:before="0" w:after="283"/>
              <w:jc w:val="left"/>
              <w:rPr/>
            </w:pPr>
            <w:r>
              <w:rPr/>
              <w:t> </w:t>
            </w:r>
          </w:p>
        </w:tc>
        <w:tc>
          <w:tcPr>
            <w:tcW w:w="49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16,557</w:t>
            </w:r>
          </w:p>
        </w:tc>
        <w:tc>
          <w:tcPr>
            <w:tcW w:w="76" w:type="dxa"/>
            <w:tcBorders/>
            <w:vAlign w:val="bottom"/>
          </w:tcPr>
          <w:p>
            <w:pPr>
              <w:pStyle w:val="TableContents"/>
              <w:bidi w:val="0"/>
              <w:spacing w:before="0" w:after="283"/>
              <w:jc w:val="left"/>
              <w:rPr/>
            </w:pPr>
            <w:r>
              <w:rPr/>
              <w:t> </w:t>
            </w:r>
          </w:p>
        </w:tc>
      </w:tr>
      <w:tr>
        <w:trPr/>
        <w:tc>
          <w:tcPr>
            <w:tcW w:w="6483" w:type="dxa"/>
            <w:tcBorders/>
            <w:shd w:fill="CCEEFF" w:val="clear"/>
            <w:vAlign w:val="bottom"/>
          </w:tcPr>
          <w:p>
            <w:pPr>
              <w:pStyle w:val="TableContents"/>
              <w:bidi w:val="0"/>
              <w:spacing w:before="0" w:after="0"/>
              <w:ind w:left="0" w:right="62" w:hanging="0"/>
              <w:jc w:val="both"/>
              <w:rPr>
                <w:color w:val="000000"/>
              </w:rPr>
            </w:pPr>
            <w:r>
              <w:rPr>
                <w:color w:val="000000"/>
              </w:rPr>
              <w:t>Total assets subject to fair value measurements on a recurring basis</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8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84,476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67"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49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8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8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84,476</w:t>
            </w:r>
          </w:p>
        </w:tc>
        <w:tc>
          <w:tcPr>
            <w:tcW w:w="76" w:type="dxa"/>
            <w:tcBorders/>
            <w:shd w:fill="CCEEFF" w:val="clear"/>
            <w:vAlign w:val="bottom"/>
          </w:tcPr>
          <w:p>
            <w:pPr>
              <w:pStyle w:val="TableContents"/>
              <w:bidi w:val="0"/>
              <w:spacing w:before="0" w:after="283"/>
              <w:jc w:val="left"/>
              <w:rPr/>
            </w:pPr>
            <w:r>
              <w:rPr/>
              <w:t> </w:t>
            </w:r>
          </w:p>
        </w:tc>
      </w:tr>
      <w:tr>
        <w:trPr/>
        <w:tc>
          <w:tcPr>
            <w:tcW w:w="6483" w:type="dxa"/>
            <w:tcBorders/>
            <w:vAlign w:val="bottom"/>
          </w:tcPr>
          <w:p>
            <w:pPr>
              <w:pStyle w:val="TableContents"/>
              <w:bidi w:val="0"/>
              <w:spacing w:before="0" w:after="0"/>
              <w:ind w:left="0" w:right="62" w:hanging="0"/>
              <w:jc w:val="both"/>
              <w:rPr>
                <w:color w:val="000000"/>
              </w:rPr>
            </w:pPr>
            <w:r>
              <w:rPr>
                <w:color w:val="000000"/>
              </w:rPr>
              <w:t>Liabilities: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67"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76" w:type="dxa"/>
            <w:tcBorders/>
            <w:vAlign w:val="bottom"/>
          </w:tcPr>
          <w:p>
            <w:pPr>
              <w:pStyle w:val="TableContents"/>
              <w:bidi w:val="0"/>
              <w:spacing w:before="0" w:after="283"/>
              <w:jc w:val="left"/>
              <w:rPr/>
            </w:pPr>
            <w:r>
              <w:rPr/>
              <w:t> </w:t>
            </w:r>
          </w:p>
        </w:tc>
      </w:tr>
      <w:tr>
        <w:trPr/>
        <w:tc>
          <w:tcPr>
            <w:tcW w:w="6483" w:type="dxa"/>
            <w:tcBorders/>
            <w:shd w:fill="CCEEFF" w:val="clear"/>
            <w:vAlign w:val="bottom"/>
          </w:tcPr>
          <w:p>
            <w:pPr>
              <w:pStyle w:val="TableContents"/>
              <w:bidi w:val="0"/>
              <w:spacing w:before="0" w:after="0"/>
              <w:ind w:left="0" w:right="62" w:hanging="0"/>
              <w:jc w:val="both"/>
              <w:rPr>
                <w:color w:val="000000"/>
              </w:rPr>
            </w:pPr>
            <w:r>
              <w:rPr>
                <w:color w:val="000000"/>
              </w:rPr>
              <w:t>Convertible note, at fair value</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67"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49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41,700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41,700</w:t>
            </w:r>
          </w:p>
        </w:tc>
        <w:tc>
          <w:tcPr>
            <w:tcW w:w="76" w:type="dxa"/>
            <w:tcBorders/>
            <w:shd w:fill="CCEEFF" w:val="clear"/>
            <w:vAlign w:val="bottom"/>
          </w:tcPr>
          <w:p>
            <w:pPr>
              <w:pStyle w:val="TableContents"/>
              <w:bidi w:val="0"/>
              <w:spacing w:before="0" w:after="283"/>
              <w:jc w:val="left"/>
              <w:rPr/>
            </w:pPr>
            <w:r>
              <w:rPr/>
              <w:t> </w:t>
            </w:r>
          </w:p>
        </w:tc>
      </w:tr>
      <w:tr>
        <w:trPr/>
        <w:tc>
          <w:tcPr>
            <w:tcW w:w="6483" w:type="dxa"/>
            <w:tcBorders/>
            <w:vAlign w:val="bottom"/>
          </w:tcPr>
          <w:p>
            <w:pPr>
              <w:pStyle w:val="TableContents"/>
              <w:bidi w:val="0"/>
              <w:spacing w:before="0" w:after="0"/>
              <w:ind w:left="0" w:right="62" w:hanging="0"/>
              <w:jc w:val="both"/>
              <w:rPr>
                <w:color w:val="000000"/>
              </w:rPr>
            </w:pPr>
            <w:r>
              <w:rPr>
                <w:color w:val="000000"/>
              </w:rPr>
              <w:t>Total liabilities subject to fair value measurements on a recurring basis</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68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67"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49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68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41,700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68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41,700</w:t>
            </w:r>
          </w:p>
        </w:tc>
        <w:tc>
          <w:tcPr>
            <w:tcW w:w="76" w:type="dxa"/>
            <w:tcBorders/>
            <w:vAlign w:val="bottom"/>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62" w:name="z418119e72aad47d6ba088d37bd171fbe"/>
      <w:bookmarkStart w:id="63" w:name="z418119e72aad47d6ba088d37bd171fbe"/>
      <w:bookmarkEnd w:id="63"/>
    </w:p>
    <w:tbl>
      <w:tblPr>
        <w:tblW w:w="10205" w:type="dxa"/>
        <w:jc w:val="left"/>
        <w:tblInd w:w="0" w:type="dxa"/>
        <w:tblLayout w:type="fixed"/>
        <w:tblCellMar>
          <w:top w:w="0" w:type="dxa"/>
          <w:left w:w="0" w:type="dxa"/>
          <w:bottom w:w="0" w:type="dxa"/>
          <w:right w:w="0" w:type="dxa"/>
        </w:tblCellMar>
      </w:tblPr>
      <w:tblGrid>
        <w:gridCol w:w="6249"/>
        <w:gridCol w:w="60"/>
        <w:gridCol w:w="140"/>
        <w:gridCol w:w="800"/>
        <w:gridCol w:w="60"/>
        <w:gridCol w:w="60"/>
        <w:gridCol w:w="265"/>
        <w:gridCol w:w="495"/>
        <w:gridCol w:w="60"/>
        <w:gridCol w:w="60"/>
        <w:gridCol w:w="140"/>
        <w:gridCol w:w="680"/>
        <w:gridCol w:w="60"/>
        <w:gridCol w:w="60"/>
        <w:gridCol w:w="140"/>
        <w:gridCol w:w="800"/>
        <w:gridCol w:w="76"/>
      </w:tblGrid>
      <w:tr>
        <w:trPr/>
        <w:tc>
          <w:tcPr>
            <w:tcW w:w="6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20" w:type="dxa"/>
            <w:gridSpan w:val="14"/>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 2025</w:t>
            </w:r>
          </w:p>
        </w:tc>
        <w:tc>
          <w:tcPr>
            <w:tcW w:w="76" w:type="dxa"/>
            <w:tcBorders/>
            <w:vAlign w:val="bottom"/>
          </w:tcPr>
          <w:p>
            <w:pPr>
              <w:pStyle w:val="TableContents"/>
              <w:bidi w:val="0"/>
              <w:spacing w:before="0" w:after="283"/>
              <w:jc w:val="left"/>
              <w:rPr/>
            </w:pPr>
            <w:r>
              <w:rPr/>
              <w:t> </w:t>
            </w:r>
          </w:p>
        </w:tc>
      </w:tr>
      <w:tr>
        <w:trPr/>
        <w:tc>
          <w:tcPr>
            <w:tcW w:w="62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ind w:left="0" w:right="0" w:firstLine="20"/>
              <w:jc w:val="center"/>
              <w:rPr>
                <w:b/>
                <w:color w:val="000000"/>
              </w:rPr>
            </w:pPr>
            <w:r>
              <w:rPr>
                <w:b/>
                <w:color w:val="000000"/>
              </w:rPr>
              <w:t>Level 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bottom"/>
          </w:tcPr>
          <w:p>
            <w:pPr>
              <w:pStyle w:val="TableContents"/>
              <w:bidi w:val="0"/>
              <w:spacing w:before="0" w:after="0"/>
              <w:ind w:left="0" w:right="0" w:firstLine="20"/>
              <w:jc w:val="center"/>
              <w:rPr>
                <w:b/>
                <w:color w:val="000000"/>
              </w:rPr>
            </w:pPr>
            <w:r>
              <w:rPr>
                <w:b/>
                <w:color w:val="000000"/>
              </w:rPr>
              <w:t>Level 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ind w:left="0" w:right="0" w:firstLine="20"/>
              <w:jc w:val="center"/>
              <w:rPr>
                <w:b/>
                <w:color w:val="000000"/>
              </w:rPr>
            </w:pPr>
            <w:r>
              <w:rPr>
                <w:b/>
                <w:color w:val="000000"/>
              </w:rPr>
              <w:t>Level 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ind w:left="0" w:right="0" w:firstLine="20"/>
              <w:jc w:val="center"/>
              <w:rPr>
                <w:b/>
                <w:color w:val="000000"/>
              </w:rPr>
            </w:pPr>
            <w:r>
              <w:rPr>
                <w:b/>
                <w:color w:val="000000"/>
              </w:rPr>
              <w:t>Total</w:t>
            </w:r>
          </w:p>
        </w:tc>
        <w:tc>
          <w:tcPr>
            <w:tcW w:w="76" w:type="dxa"/>
            <w:tcBorders/>
            <w:vAlign w:val="bottom"/>
          </w:tcPr>
          <w:p>
            <w:pPr>
              <w:pStyle w:val="TableContents"/>
              <w:bidi w:val="0"/>
              <w:spacing w:before="0" w:after="283"/>
              <w:jc w:val="left"/>
              <w:rPr/>
            </w:pPr>
            <w:r>
              <w:rPr/>
              <w:t> </w:t>
            </w:r>
          </w:p>
        </w:tc>
      </w:tr>
      <w:tr>
        <w:trPr/>
        <w:tc>
          <w:tcPr>
            <w:tcW w:w="6249" w:type="dxa"/>
            <w:tcBorders/>
            <w:vAlign w:val="bottom"/>
          </w:tcPr>
          <w:p>
            <w:pPr>
              <w:pStyle w:val="TableContents"/>
              <w:bidi w:val="0"/>
              <w:spacing w:before="0" w:after="0"/>
              <w:ind w:left="0" w:right="62" w:hanging="0"/>
              <w:jc w:val="both"/>
              <w:rPr>
                <w:b/>
                <w:color w:val="000000"/>
              </w:rPr>
            </w:pPr>
            <w:r>
              <w:rPr>
                <w:b/>
                <w:color w:val="000000"/>
              </w:rPr>
              <w:t>Assets:</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r>
      <w:tr>
        <w:trPr/>
        <w:tc>
          <w:tcPr>
            <w:tcW w:w="6249" w:type="dxa"/>
            <w:tcBorders/>
            <w:vAlign w:val="bottom"/>
          </w:tcPr>
          <w:p>
            <w:pPr>
              <w:pStyle w:val="TableContents"/>
              <w:bidi w:val="0"/>
              <w:spacing w:before="0" w:after="0"/>
              <w:ind w:left="0" w:right="62" w:hanging="0"/>
              <w:jc w:val="both"/>
              <w:rPr>
                <w:color w:val="000000"/>
              </w:rPr>
            </w:pPr>
            <w:r>
              <w:rPr>
                <w:color w:val="000000"/>
              </w:rPr>
              <w:t>Cash equivalents:</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r>
      <w:tr>
        <w:trPr/>
        <w:tc>
          <w:tcPr>
            <w:tcW w:w="6249" w:type="dxa"/>
            <w:tcBorders/>
            <w:shd w:fill="CCEEFF" w:val="clear"/>
            <w:vAlign w:val="bottom"/>
          </w:tcPr>
          <w:p>
            <w:pPr>
              <w:pStyle w:val="TableContents"/>
              <w:bidi w:val="0"/>
              <w:spacing w:before="0" w:after="0"/>
              <w:ind w:left="180" w:right="0" w:hanging="0"/>
              <w:jc w:val="left"/>
              <w:rPr>
                <w:color w:val="000000"/>
              </w:rPr>
            </w:pPr>
            <w:r>
              <w:rPr>
                <w:color w:val="000000"/>
              </w:rPr>
              <w:t>Money market funds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00" w:type="dxa"/>
            <w:tcBorders/>
            <w:shd w:fill="CCEEFF" w:val="clear"/>
            <w:vAlign w:val="bottom"/>
          </w:tcPr>
          <w:p>
            <w:pPr>
              <w:pStyle w:val="TableContents"/>
              <w:bidi w:val="0"/>
              <w:spacing w:before="0" w:after="0"/>
              <w:jc w:val="right"/>
              <w:rPr>
                <w:color w:val="000000"/>
              </w:rPr>
            </w:pPr>
            <w:r>
              <w:rPr>
                <w:color w:val="000000"/>
              </w:rPr>
              <w:t>40,320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65" w:type="dxa"/>
            <w:tcBorders/>
            <w:shd w:fill="CCEEFF" w:val="clear"/>
            <w:vAlign w:val="bottom"/>
          </w:tcPr>
          <w:p>
            <w:pPr>
              <w:pStyle w:val="TableContents"/>
              <w:bidi w:val="0"/>
              <w:spacing w:before="0" w:after="0"/>
              <w:jc w:val="left"/>
              <w:rPr>
                <w:color w:val="000000"/>
              </w:rPr>
            </w:pPr>
            <w:r>
              <w:rPr>
                <w:color w:val="000000"/>
              </w:rPr>
              <w:t>$</w:t>
            </w:r>
          </w:p>
        </w:tc>
        <w:tc>
          <w:tcPr>
            <w:tcW w:w="495"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8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00" w:type="dxa"/>
            <w:tcBorders/>
            <w:shd w:fill="CCEEFF" w:val="clear"/>
            <w:vAlign w:val="bottom"/>
          </w:tcPr>
          <w:p>
            <w:pPr>
              <w:pStyle w:val="TableContents"/>
              <w:bidi w:val="0"/>
              <w:spacing w:before="0" w:after="0"/>
              <w:jc w:val="right"/>
              <w:rPr>
                <w:color w:val="000000"/>
              </w:rPr>
            </w:pPr>
            <w:r>
              <w:rPr>
                <w:color w:val="000000"/>
              </w:rPr>
              <w:t>40,320</w:t>
            </w:r>
          </w:p>
        </w:tc>
        <w:tc>
          <w:tcPr>
            <w:tcW w:w="76" w:type="dxa"/>
            <w:tcBorders/>
            <w:shd w:fill="CCEEFF" w:val="clear"/>
            <w:vAlign w:val="bottom"/>
          </w:tcPr>
          <w:p>
            <w:pPr>
              <w:pStyle w:val="TableContents"/>
              <w:bidi w:val="0"/>
              <w:spacing w:before="0" w:after="283"/>
              <w:jc w:val="left"/>
              <w:rPr/>
            </w:pPr>
            <w:r>
              <w:rPr/>
              <w:t> </w:t>
            </w:r>
          </w:p>
        </w:tc>
      </w:tr>
      <w:tr>
        <w:trPr/>
        <w:tc>
          <w:tcPr>
            <w:tcW w:w="6249" w:type="dxa"/>
            <w:tcBorders/>
            <w:vAlign w:val="bottom"/>
          </w:tcPr>
          <w:p>
            <w:pPr>
              <w:pStyle w:val="TableContents"/>
              <w:bidi w:val="0"/>
              <w:spacing w:before="0" w:after="0"/>
              <w:ind w:left="180" w:right="0" w:hanging="0"/>
              <w:jc w:val="left"/>
              <w:rPr>
                <w:color w:val="000000"/>
              </w:rPr>
            </w:pPr>
            <w:r>
              <w:rPr>
                <w:color w:val="000000"/>
              </w:rPr>
              <w:t>U.S. treasury securities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29,638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65" w:type="dxa"/>
            <w:tcBorders>
              <w:bottom w:val="single" w:sz="12" w:space="0" w:color="000000"/>
            </w:tcBorders>
            <w:tcMar>
              <w:bottom w:w="28" w:type="dxa"/>
            </w:tcMar>
            <w:vAlign w:val="bottom"/>
          </w:tcPr>
          <w:p>
            <w:pPr>
              <w:pStyle w:val="TableContents"/>
              <w:bidi w:val="0"/>
              <w:spacing w:before="0" w:after="283"/>
              <w:jc w:val="left"/>
              <w:rPr/>
            </w:pPr>
            <w:r>
              <w:rPr/>
              <w:t> </w:t>
            </w:r>
          </w:p>
        </w:tc>
        <w:tc>
          <w:tcPr>
            <w:tcW w:w="49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29,638</w:t>
            </w:r>
          </w:p>
        </w:tc>
        <w:tc>
          <w:tcPr>
            <w:tcW w:w="76" w:type="dxa"/>
            <w:tcBorders/>
            <w:vAlign w:val="bottom"/>
          </w:tcPr>
          <w:p>
            <w:pPr>
              <w:pStyle w:val="TableContents"/>
              <w:bidi w:val="0"/>
              <w:spacing w:before="0" w:after="283"/>
              <w:jc w:val="left"/>
              <w:rPr/>
            </w:pPr>
            <w:r>
              <w:rPr/>
              <w:t> </w:t>
            </w:r>
          </w:p>
        </w:tc>
      </w:tr>
      <w:tr>
        <w:trPr/>
        <w:tc>
          <w:tcPr>
            <w:tcW w:w="6249" w:type="dxa"/>
            <w:tcBorders/>
            <w:shd w:fill="CCEEFF" w:val="clear"/>
            <w:vAlign w:val="bottom"/>
          </w:tcPr>
          <w:p>
            <w:pPr>
              <w:pStyle w:val="TableContents"/>
              <w:bidi w:val="0"/>
              <w:spacing w:before="0" w:after="0"/>
              <w:ind w:left="360" w:right="0" w:hanging="0"/>
              <w:jc w:val="left"/>
              <w:rPr>
                <w:color w:val="000000"/>
              </w:rPr>
            </w:pPr>
            <w:r>
              <w:rPr>
                <w:color w:val="000000"/>
              </w:rPr>
              <w:t>Total cash equivalents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69,958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65"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color w:val="000000"/>
              </w:rPr>
            </w:pPr>
            <w:r>
              <w:rPr>
                <w:color w:val="000000"/>
              </w:rPr>
              <w:t>69,958</w:t>
            </w:r>
          </w:p>
        </w:tc>
        <w:tc>
          <w:tcPr>
            <w:tcW w:w="76" w:type="dxa"/>
            <w:tcBorders/>
            <w:shd w:fill="CCEEFF" w:val="clear"/>
            <w:vAlign w:val="bottom"/>
          </w:tcPr>
          <w:p>
            <w:pPr>
              <w:pStyle w:val="TableContents"/>
              <w:bidi w:val="0"/>
              <w:spacing w:before="0" w:after="283"/>
              <w:jc w:val="left"/>
              <w:rPr/>
            </w:pPr>
            <w:r>
              <w:rPr/>
              <w:t> </w:t>
            </w:r>
          </w:p>
        </w:tc>
      </w:tr>
      <w:tr>
        <w:trPr/>
        <w:tc>
          <w:tcPr>
            <w:tcW w:w="6249" w:type="dxa"/>
            <w:tcBorders/>
            <w:vAlign w:val="bottom"/>
          </w:tcPr>
          <w:p>
            <w:pPr>
              <w:pStyle w:val="TableContents"/>
              <w:bidi w:val="0"/>
              <w:spacing w:before="0" w:after="0"/>
              <w:ind w:left="0" w:right="62" w:hanging="0"/>
              <w:jc w:val="both"/>
              <w:rPr>
                <w:color w:val="000000"/>
              </w:rPr>
            </w:pPr>
            <w:r>
              <w:rPr>
                <w:color w:val="000000"/>
              </w:rPr>
              <w:t>Short-term marketable securities: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65"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76" w:type="dxa"/>
            <w:tcBorders/>
            <w:vAlign w:val="bottom"/>
          </w:tcPr>
          <w:p>
            <w:pPr>
              <w:pStyle w:val="TableContents"/>
              <w:bidi w:val="0"/>
              <w:spacing w:before="0" w:after="283"/>
              <w:jc w:val="left"/>
              <w:rPr/>
            </w:pPr>
            <w:r>
              <w:rPr/>
              <w:t> </w:t>
            </w:r>
          </w:p>
        </w:tc>
      </w:tr>
      <w:tr>
        <w:trPr/>
        <w:tc>
          <w:tcPr>
            <w:tcW w:w="6249" w:type="dxa"/>
            <w:tcBorders/>
            <w:shd w:fill="CCEEFF" w:val="clear"/>
            <w:vAlign w:val="bottom"/>
          </w:tcPr>
          <w:p>
            <w:pPr>
              <w:pStyle w:val="TableContents"/>
              <w:bidi w:val="0"/>
              <w:spacing w:before="0" w:after="0"/>
              <w:ind w:left="180" w:right="0" w:hanging="0"/>
              <w:jc w:val="left"/>
              <w:rPr>
                <w:color w:val="000000"/>
              </w:rPr>
            </w:pPr>
            <w:r>
              <w:rPr>
                <w:color w:val="000000"/>
              </w:rPr>
              <w:t>U.S. treasury securities</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138,106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6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9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138,106</w:t>
            </w:r>
          </w:p>
        </w:tc>
        <w:tc>
          <w:tcPr>
            <w:tcW w:w="76" w:type="dxa"/>
            <w:tcBorders/>
            <w:shd w:fill="CCEEFF" w:val="clear"/>
            <w:vAlign w:val="bottom"/>
          </w:tcPr>
          <w:p>
            <w:pPr>
              <w:pStyle w:val="TableContents"/>
              <w:bidi w:val="0"/>
              <w:spacing w:before="0" w:after="283"/>
              <w:jc w:val="left"/>
              <w:rPr/>
            </w:pPr>
            <w:r>
              <w:rPr/>
              <w:t> </w:t>
            </w:r>
          </w:p>
        </w:tc>
      </w:tr>
      <w:tr>
        <w:trPr/>
        <w:tc>
          <w:tcPr>
            <w:tcW w:w="6249" w:type="dxa"/>
            <w:tcBorders/>
            <w:vAlign w:val="bottom"/>
          </w:tcPr>
          <w:p>
            <w:pPr>
              <w:pStyle w:val="TableContents"/>
              <w:bidi w:val="0"/>
              <w:spacing w:before="0" w:after="0"/>
              <w:ind w:left="360" w:right="0" w:hanging="0"/>
              <w:jc w:val="left"/>
              <w:rPr>
                <w:color w:val="000000"/>
              </w:rPr>
            </w:pPr>
            <w:r>
              <w:rPr>
                <w:color w:val="000000"/>
              </w:rPr>
              <w:t>Total short-term marketable securities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138,106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65" w:type="dxa"/>
            <w:tcBorders>
              <w:bottom w:val="single" w:sz="12" w:space="0" w:color="000000"/>
            </w:tcBorders>
            <w:tcMar>
              <w:bottom w:w="28" w:type="dxa"/>
            </w:tcMar>
            <w:vAlign w:val="bottom"/>
          </w:tcPr>
          <w:p>
            <w:pPr>
              <w:pStyle w:val="TableContents"/>
              <w:bidi w:val="0"/>
              <w:spacing w:before="0" w:after="283"/>
              <w:jc w:val="left"/>
              <w:rPr/>
            </w:pPr>
            <w:r>
              <w:rPr/>
              <w:t> </w:t>
            </w:r>
          </w:p>
        </w:tc>
        <w:tc>
          <w:tcPr>
            <w:tcW w:w="49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138,106</w:t>
            </w:r>
          </w:p>
        </w:tc>
        <w:tc>
          <w:tcPr>
            <w:tcW w:w="76" w:type="dxa"/>
            <w:tcBorders/>
            <w:vAlign w:val="bottom"/>
          </w:tcPr>
          <w:p>
            <w:pPr>
              <w:pStyle w:val="TableContents"/>
              <w:bidi w:val="0"/>
              <w:spacing w:before="0" w:after="283"/>
              <w:jc w:val="left"/>
              <w:rPr/>
            </w:pPr>
            <w:r>
              <w:rPr/>
              <w:t> </w:t>
            </w:r>
          </w:p>
        </w:tc>
      </w:tr>
      <w:tr>
        <w:trPr/>
        <w:tc>
          <w:tcPr>
            <w:tcW w:w="6249" w:type="dxa"/>
            <w:tcBorders/>
            <w:shd w:fill="CCEEFF" w:val="clear"/>
            <w:vAlign w:val="bottom"/>
          </w:tcPr>
          <w:p>
            <w:pPr>
              <w:pStyle w:val="TableContents"/>
              <w:bidi w:val="0"/>
              <w:spacing w:before="0" w:after="0"/>
              <w:jc w:val="left"/>
              <w:rPr>
                <w:color w:val="000000"/>
              </w:rPr>
            </w:pPr>
            <w:r>
              <w:rPr>
                <w:color w:val="000000"/>
              </w:rPr>
              <w:t>Total assets subject to fair value measurements on a recurring basis</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208,064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65"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49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8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208,064</w:t>
            </w:r>
          </w:p>
        </w:tc>
        <w:tc>
          <w:tcPr>
            <w:tcW w:w="76" w:type="dxa"/>
            <w:tcBorders/>
            <w:shd w:fill="CCEEFF" w:val="clear"/>
            <w:vAlign w:val="bottom"/>
          </w:tcPr>
          <w:p>
            <w:pPr>
              <w:pStyle w:val="TableContents"/>
              <w:bidi w:val="0"/>
              <w:spacing w:before="0" w:after="283"/>
              <w:jc w:val="left"/>
              <w:rPr/>
            </w:pPr>
            <w:r>
              <w:rPr/>
              <w:t> </w:t>
            </w:r>
          </w:p>
        </w:tc>
      </w:tr>
      <w:tr>
        <w:trPr/>
        <w:tc>
          <w:tcPr>
            <w:tcW w:w="6249" w:type="dxa"/>
            <w:tcBorders/>
            <w:vAlign w:val="bottom"/>
          </w:tcPr>
          <w:p>
            <w:pPr>
              <w:pStyle w:val="TableContents"/>
              <w:bidi w:val="0"/>
              <w:spacing w:before="0" w:after="0"/>
              <w:jc w:val="left"/>
              <w:rPr>
                <w:color w:val="000000"/>
              </w:rPr>
            </w:pPr>
            <w:r>
              <w:rPr>
                <w:color w:val="000000"/>
              </w:rPr>
              <w:t>Liabilities: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65"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76" w:type="dxa"/>
            <w:tcBorders/>
            <w:vAlign w:val="bottom"/>
          </w:tcPr>
          <w:p>
            <w:pPr>
              <w:pStyle w:val="TableContents"/>
              <w:bidi w:val="0"/>
              <w:spacing w:before="0" w:after="283"/>
              <w:jc w:val="left"/>
              <w:rPr/>
            </w:pPr>
            <w:r>
              <w:rPr/>
              <w:t> </w:t>
            </w:r>
          </w:p>
        </w:tc>
      </w:tr>
      <w:tr>
        <w:trPr/>
        <w:tc>
          <w:tcPr>
            <w:tcW w:w="6249" w:type="dxa"/>
            <w:tcBorders/>
            <w:shd w:fill="CCEEFF" w:val="clear"/>
            <w:vAlign w:val="bottom"/>
          </w:tcPr>
          <w:p>
            <w:pPr>
              <w:pStyle w:val="TableContents"/>
              <w:bidi w:val="0"/>
              <w:spacing w:before="0" w:after="0"/>
              <w:jc w:val="left"/>
              <w:rPr>
                <w:color w:val="000000"/>
              </w:rPr>
            </w:pPr>
            <w:r>
              <w:rPr>
                <w:color w:val="000000"/>
              </w:rPr>
              <w:t>Convertible note, at fair value</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65"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49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41,600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41,600</w:t>
            </w:r>
          </w:p>
        </w:tc>
        <w:tc>
          <w:tcPr>
            <w:tcW w:w="76" w:type="dxa"/>
            <w:tcBorders/>
            <w:shd w:fill="CCEEFF" w:val="clear"/>
            <w:vAlign w:val="bottom"/>
          </w:tcPr>
          <w:p>
            <w:pPr>
              <w:pStyle w:val="TableContents"/>
              <w:bidi w:val="0"/>
              <w:spacing w:before="0" w:after="283"/>
              <w:jc w:val="left"/>
              <w:rPr/>
            </w:pPr>
            <w:r>
              <w:rPr/>
              <w:t> </w:t>
            </w:r>
          </w:p>
        </w:tc>
      </w:tr>
      <w:tr>
        <w:trPr/>
        <w:tc>
          <w:tcPr>
            <w:tcW w:w="6249" w:type="dxa"/>
            <w:tcBorders/>
            <w:vAlign w:val="bottom"/>
          </w:tcPr>
          <w:p>
            <w:pPr>
              <w:pStyle w:val="TableContents"/>
              <w:bidi w:val="0"/>
              <w:spacing w:before="0" w:after="0"/>
              <w:jc w:val="left"/>
              <w:rPr>
                <w:color w:val="000000"/>
              </w:rPr>
            </w:pPr>
            <w:r>
              <w:rPr>
                <w:color w:val="000000"/>
              </w:rPr>
              <w:t>Total liabilities subject to fair value measurements on a recurring basis</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0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65"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49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68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41,600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0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41,600</w:t>
            </w:r>
          </w:p>
        </w:tc>
        <w:tc>
          <w:tcPr>
            <w:tcW w:w="76" w:type="dxa"/>
            <w:tcBorders/>
            <w:vAlign w:val="bottom"/>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t> </w:t>
      </w:r>
    </w:p>
    <w:p>
      <w:pPr>
        <w:pStyle w:val="TextBody"/>
        <w:bidi w:val="0"/>
        <w:spacing w:before="0" w:after="0"/>
        <w:ind w:left="0" w:right="0" w:firstLine="360"/>
        <w:jc w:val="both"/>
        <w:rPr>
          <w:rFonts w:ascii="Times New Roman" w:hAnsi="Times New Roman"/>
          <w:color w:val="000000"/>
          <w:sz w:val="20"/>
        </w:rPr>
      </w:pPr>
      <w:r>
        <w:rPr>
          <w:rFonts w:ascii="Times New Roman" w:hAnsi="Times New Roman"/>
          <w:color w:val="000000"/>
          <w:sz w:val="20"/>
        </w:rPr>
        <w:t>There were no transfers between Level 1, Level 2 and Level 3 during the periods presented.</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bookmarkStart w:id="64" w:name="Section12"/>
      <w:bookmarkEnd w:id="64"/>
      <w:r>
        <w:rPr>
          <w:rFonts w:ascii="Times New Roman" w:hAnsi="Times New Roman"/>
          <w:color w:val="000000"/>
          <w:sz w:val="20"/>
        </w:rPr>
        <w:t>The Company elected to measure the Convertible Note issued to Exact Sciences Corporation (the “Exact Convertible Note”) using the fair value option at each reporting date. See Note 8 for more information regarding the Convertible Note issued to Exact Sciences.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fair value of the Exact Convertible Note at June 30, 2026 and December 31, 2025 was determined using a Monte Carlo Simulation Model, which includes significant inputs not observable in the market, which causes it to be classified as a Level 3 measurement within the fair value hierarchy. The methodology consists of simulating the value of the stock price to maturity or early conversion to determine the timing and amount of the debt payoff. The payoff amount is then discounted back to the valuation date considering a Company specific cost of debt.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significant unobservable inputs used in the valuation included the following:</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5" w:name="zf64a942860d1422ab8bb4286463a25e2"/>
      <w:bookmarkStart w:id="66" w:name="zf64a942860d1422ab8bb4286463a25e2"/>
      <w:bookmarkEnd w:id="66"/>
    </w:p>
    <w:tbl>
      <w:tblPr>
        <w:tblW w:w="6039" w:type="dxa"/>
        <w:jc w:val="left"/>
        <w:tblInd w:w="0" w:type="dxa"/>
        <w:tblLayout w:type="fixed"/>
        <w:tblCellMar>
          <w:top w:w="0" w:type="dxa"/>
          <w:left w:w="0" w:type="dxa"/>
          <w:bottom w:w="0" w:type="dxa"/>
          <w:right w:w="0" w:type="dxa"/>
        </w:tblCellMar>
      </w:tblPr>
      <w:tblGrid>
        <w:gridCol w:w="2105"/>
        <w:gridCol w:w="60"/>
        <w:gridCol w:w="341"/>
        <w:gridCol w:w="1073"/>
        <w:gridCol w:w="215"/>
        <w:gridCol w:w="60"/>
        <w:gridCol w:w="471"/>
        <w:gridCol w:w="1484"/>
        <w:gridCol w:w="230"/>
      </w:tblGrid>
      <w:tr>
        <w:trPr/>
        <w:tc>
          <w:tcPr>
            <w:tcW w:w="21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4" w:type="dxa"/>
            <w:gridSpan w:val="2"/>
            <w:tcBorders>
              <w:top w:val="single" w:sz="12" w:space="0" w:color="000000"/>
              <w:bottom w:val="single" w:sz="12" w:space="0" w:color="000000"/>
            </w:tcBorders>
            <w:tcMar>
              <w:top w:w="28" w:type="dxa"/>
              <w:bottom w:w="28" w:type="dxa"/>
            </w:tcMar>
            <w:vAlign w:val="bottom"/>
          </w:tcPr>
          <w:p>
            <w:pPr>
              <w:pStyle w:val="TableContents"/>
              <w:bidi w:val="0"/>
              <w:spacing w:before="0" w:after="0"/>
              <w:jc w:val="right"/>
              <w:rPr>
                <w:b/>
                <w:color w:val="000000"/>
              </w:rPr>
            </w:pPr>
            <w:r>
              <w:rPr>
                <w:b/>
                <w:color w:val="000000"/>
              </w:rPr>
              <w:t>June 30, 2026</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5" w:type="dxa"/>
            <w:gridSpan w:val="2"/>
            <w:tcBorders>
              <w:top w:val="single" w:sz="12" w:space="0" w:color="000000"/>
              <w:bottom w:val="single" w:sz="12" w:space="0" w:color="000000"/>
            </w:tcBorders>
            <w:tcMar>
              <w:top w:w="28" w:type="dxa"/>
              <w:bottom w:w="28" w:type="dxa"/>
            </w:tcMar>
            <w:vAlign w:val="bottom"/>
          </w:tcPr>
          <w:p>
            <w:pPr>
              <w:pStyle w:val="TableContents"/>
              <w:bidi w:val="0"/>
              <w:spacing w:before="0" w:after="0"/>
              <w:jc w:val="right"/>
              <w:rPr>
                <w:b/>
                <w:color w:val="000000"/>
              </w:rPr>
            </w:pPr>
            <w:r>
              <w:rPr>
                <w:b/>
                <w:color w:val="000000"/>
              </w:rPr>
              <w:t>December 31, 2025</w:t>
            </w:r>
          </w:p>
        </w:tc>
        <w:tc>
          <w:tcPr>
            <w:tcW w:w="230" w:type="dxa"/>
            <w:tcBorders/>
            <w:vAlign w:val="bottom"/>
          </w:tcPr>
          <w:p>
            <w:pPr>
              <w:pStyle w:val="TableContents"/>
              <w:bidi w:val="0"/>
              <w:spacing w:before="0" w:after="283"/>
              <w:jc w:val="left"/>
              <w:rPr/>
            </w:pPr>
            <w:r>
              <w:rPr/>
              <w:t> </w:t>
            </w:r>
          </w:p>
        </w:tc>
      </w:tr>
      <w:tr>
        <w:trPr/>
        <w:tc>
          <w:tcPr>
            <w:tcW w:w="2105" w:type="dxa"/>
            <w:tcBorders/>
            <w:shd w:fill="CCEEFF" w:val="clear"/>
            <w:vAlign w:val="bottom"/>
          </w:tcPr>
          <w:p>
            <w:pPr>
              <w:pStyle w:val="TableContents"/>
              <w:bidi w:val="0"/>
              <w:spacing w:before="0" w:after="0"/>
              <w:jc w:val="left"/>
              <w:rPr>
                <w:color w:val="000000"/>
              </w:rPr>
            </w:pPr>
            <w:r>
              <w:rPr>
                <w:color w:val="000000"/>
              </w:rPr>
              <w:t>Estimated Stock Price</w:t>
            </w:r>
          </w:p>
        </w:tc>
        <w:tc>
          <w:tcPr>
            <w:tcW w:w="60" w:type="dxa"/>
            <w:tcBorders/>
            <w:shd w:fill="CCEEFF" w:val="clear"/>
            <w:vAlign w:val="bottom"/>
          </w:tcPr>
          <w:p>
            <w:pPr>
              <w:pStyle w:val="TableContents"/>
              <w:bidi w:val="0"/>
              <w:spacing w:before="0" w:after="283"/>
              <w:jc w:val="right"/>
              <w:rPr/>
            </w:pPr>
            <w:r>
              <w:rPr/>
              <w:t> </w:t>
            </w:r>
          </w:p>
        </w:tc>
        <w:tc>
          <w:tcPr>
            <w:tcW w:w="341" w:type="dxa"/>
            <w:tcBorders/>
            <w:shd w:fill="CCEEFF" w:val="clear"/>
            <w:vAlign w:val="bottom"/>
          </w:tcPr>
          <w:p>
            <w:pPr>
              <w:pStyle w:val="TableContents"/>
              <w:bidi w:val="0"/>
              <w:spacing w:before="0" w:after="0"/>
              <w:jc w:val="left"/>
              <w:rPr>
                <w:color w:val="000000"/>
              </w:rPr>
            </w:pPr>
            <w:r>
              <w:rPr>
                <w:color w:val="000000"/>
              </w:rPr>
              <w:t>$</w:t>
            </w:r>
          </w:p>
        </w:tc>
        <w:tc>
          <w:tcPr>
            <w:tcW w:w="1073" w:type="dxa"/>
            <w:tcBorders/>
            <w:shd w:fill="CCEEFF" w:val="clear"/>
            <w:vAlign w:val="bottom"/>
          </w:tcPr>
          <w:p>
            <w:pPr>
              <w:pStyle w:val="TableContents"/>
              <w:bidi w:val="0"/>
              <w:spacing w:before="0" w:after="0"/>
              <w:jc w:val="right"/>
              <w:rPr>
                <w:color w:val="000000"/>
              </w:rPr>
            </w:pPr>
            <w:r>
              <w:rPr>
                <w:color w:val="000000"/>
              </w:rPr>
              <w:t>3.28</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71" w:type="dxa"/>
            <w:tcBorders/>
            <w:shd w:fill="CCEEFF" w:val="clear"/>
            <w:vAlign w:val="bottom"/>
          </w:tcPr>
          <w:p>
            <w:pPr>
              <w:pStyle w:val="TableContents"/>
              <w:bidi w:val="0"/>
              <w:spacing w:before="0" w:after="0"/>
              <w:jc w:val="left"/>
              <w:rPr>
                <w:color w:val="000000"/>
              </w:rPr>
            </w:pPr>
            <w:r>
              <w:rPr>
                <w:color w:val="000000"/>
              </w:rPr>
              <w:t>$</w:t>
            </w:r>
          </w:p>
        </w:tc>
        <w:tc>
          <w:tcPr>
            <w:tcW w:w="1484" w:type="dxa"/>
            <w:tcBorders/>
            <w:shd w:fill="CCEEFF" w:val="clear"/>
            <w:vAlign w:val="bottom"/>
          </w:tcPr>
          <w:p>
            <w:pPr>
              <w:pStyle w:val="TableContents"/>
              <w:bidi w:val="0"/>
              <w:spacing w:before="0" w:after="0"/>
              <w:jc w:val="right"/>
              <w:rPr>
                <w:color w:val="000000"/>
              </w:rPr>
            </w:pPr>
            <w:r>
              <w:rPr>
                <w:color w:val="000000"/>
              </w:rPr>
              <w:t>2.44</w:t>
            </w:r>
          </w:p>
        </w:tc>
        <w:tc>
          <w:tcPr>
            <w:tcW w:w="230" w:type="dxa"/>
            <w:tcBorders/>
            <w:shd w:fill="CCEEFF" w:val="clear"/>
            <w:vAlign w:val="bottom"/>
          </w:tcPr>
          <w:p>
            <w:pPr>
              <w:pStyle w:val="TableContents"/>
              <w:bidi w:val="0"/>
              <w:spacing w:before="0" w:after="283"/>
              <w:jc w:val="left"/>
              <w:rPr/>
            </w:pPr>
            <w:r>
              <w:rPr/>
              <w:t> </w:t>
            </w:r>
          </w:p>
        </w:tc>
      </w:tr>
      <w:tr>
        <w:trPr/>
        <w:tc>
          <w:tcPr>
            <w:tcW w:w="2105" w:type="dxa"/>
            <w:tcBorders/>
            <w:vAlign w:val="bottom"/>
          </w:tcPr>
          <w:p>
            <w:pPr>
              <w:pStyle w:val="TableContents"/>
              <w:bidi w:val="0"/>
              <w:spacing w:before="0" w:after="0"/>
              <w:jc w:val="left"/>
              <w:rPr>
                <w:color w:val="000000"/>
              </w:rPr>
            </w:pPr>
            <w:r>
              <w:rPr>
                <w:color w:val="000000"/>
              </w:rPr>
              <w:t>Credit Spread</w:t>
            </w:r>
          </w:p>
        </w:tc>
        <w:tc>
          <w:tcPr>
            <w:tcW w:w="60" w:type="dxa"/>
            <w:tcBorders/>
            <w:vAlign w:val="bottom"/>
          </w:tcPr>
          <w:p>
            <w:pPr>
              <w:pStyle w:val="TableContents"/>
              <w:bidi w:val="0"/>
              <w:spacing w:before="0" w:after="283"/>
              <w:jc w:val="right"/>
              <w:rPr/>
            </w:pPr>
            <w:r>
              <w:rPr/>
              <w:t> </w:t>
            </w:r>
          </w:p>
        </w:tc>
        <w:tc>
          <w:tcPr>
            <w:tcW w:w="341"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0"/>
              <w:jc w:val="right"/>
              <w:rPr>
                <w:color w:val="000000"/>
              </w:rPr>
            </w:pPr>
            <w:r>
              <w:rPr>
                <w:color w:val="000000"/>
              </w:rPr>
              <w:t>9.6</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471" w:type="dxa"/>
            <w:tcBorders/>
            <w:vAlign w:val="bottom"/>
          </w:tcPr>
          <w:p>
            <w:pPr>
              <w:pStyle w:val="TableContents"/>
              <w:bidi w:val="0"/>
              <w:spacing w:before="0" w:after="283"/>
              <w:jc w:val="left"/>
              <w:rPr/>
            </w:pPr>
            <w:r>
              <w:rPr/>
              <w:t> </w:t>
            </w:r>
          </w:p>
        </w:tc>
        <w:tc>
          <w:tcPr>
            <w:tcW w:w="1484" w:type="dxa"/>
            <w:tcBorders/>
            <w:vAlign w:val="bottom"/>
          </w:tcPr>
          <w:p>
            <w:pPr>
              <w:pStyle w:val="TableContents"/>
              <w:bidi w:val="0"/>
              <w:spacing w:before="0" w:after="0"/>
              <w:jc w:val="right"/>
              <w:rPr>
                <w:color w:val="000000"/>
              </w:rPr>
            </w:pPr>
            <w:r>
              <w:rPr>
                <w:color w:val="000000"/>
              </w:rPr>
              <w:t>8.9</w:t>
            </w:r>
          </w:p>
        </w:tc>
        <w:tc>
          <w:tcPr>
            <w:tcW w:w="230" w:type="dxa"/>
            <w:tcBorders/>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fair value of the Exact Convertible Note may change significantly by the estimated stock price and credit spread, impacting the Company’s assumptions regarding probabilities of outcomes used to estimate the fair value. The estimates of fair value may not be indicative of the amounts that could be realized in a current market exchange. Any increase or decrease in the fair value of the Company’s estimated stock price would result in an increase or decrease in the valuation of the Exact Convertible Note. A change in the credit spread would not impact the estimated fair value of the Company’s stock price. Accordingly, the use of a different market assumption may have a material effect on the estimated fair value amounts, and such changes could impact the Company’s results of operations in future periods. The change in fair value as of June 30, 2026 was $0.1 million and is recognized as interest expense and included in other expense, net in the condensed consolidated statements of operations.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change in the fair value of the Exact Convertible Note is summarized in the following table (in thousands):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7" w:name="z40adeac2858a4581b6a8d3b1b277d7a7"/>
      <w:bookmarkStart w:id="68" w:name="z40adeac2858a4581b6a8d3b1b277d7a7"/>
      <w:bookmarkEnd w:id="68"/>
    </w:p>
    <w:tbl>
      <w:tblPr>
        <w:tblW w:w="3885" w:type="dxa"/>
        <w:jc w:val="left"/>
        <w:tblInd w:w="0" w:type="dxa"/>
        <w:tblLayout w:type="fixed"/>
        <w:tblCellMar>
          <w:top w:w="0" w:type="dxa"/>
          <w:left w:w="0" w:type="dxa"/>
          <w:bottom w:w="0" w:type="dxa"/>
          <w:right w:w="0" w:type="dxa"/>
        </w:tblCellMar>
      </w:tblPr>
      <w:tblGrid>
        <w:gridCol w:w="2945"/>
        <w:gridCol w:w="60"/>
        <w:gridCol w:w="140"/>
        <w:gridCol w:w="680"/>
        <w:gridCol w:w="60"/>
      </w:tblGrid>
      <w:tr>
        <w:trPr/>
        <w:tc>
          <w:tcPr>
            <w:tcW w:w="2945" w:type="dxa"/>
            <w:tcBorders/>
            <w:shd w:fill="CCEEFF" w:val="clear"/>
            <w:vAlign w:val="bottom"/>
          </w:tcPr>
          <w:p>
            <w:pPr>
              <w:pStyle w:val="TableContents"/>
              <w:bidi w:val="0"/>
              <w:spacing w:before="0" w:after="0"/>
              <w:jc w:val="left"/>
              <w:rPr>
                <w:color w:val="000000"/>
              </w:rPr>
            </w:pPr>
            <w:r>
              <w:rPr>
                <w:color w:val="000000"/>
              </w:rPr>
              <w:t>Balance at December 31, 2025</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80" w:type="dxa"/>
            <w:tcBorders/>
            <w:shd w:fill="CCEEFF" w:val="clear"/>
            <w:vAlign w:val="bottom"/>
          </w:tcPr>
          <w:p>
            <w:pPr>
              <w:pStyle w:val="TableContents"/>
              <w:bidi w:val="0"/>
              <w:spacing w:before="0" w:after="0"/>
              <w:jc w:val="right"/>
              <w:rPr>
                <w:color w:val="000000"/>
              </w:rPr>
            </w:pPr>
            <w:r>
              <w:rPr>
                <w:color w:val="000000"/>
              </w:rPr>
              <w:t>41,600</w:t>
            </w:r>
          </w:p>
        </w:tc>
        <w:tc>
          <w:tcPr>
            <w:tcW w:w="60" w:type="dxa"/>
            <w:tcBorders/>
            <w:shd w:fill="CCEEFF" w:val="clear"/>
            <w:vAlign w:val="bottom"/>
          </w:tcPr>
          <w:p>
            <w:pPr>
              <w:pStyle w:val="TableContents"/>
              <w:bidi w:val="0"/>
              <w:spacing w:before="0" w:after="283"/>
              <w:jc w:val="left"/>
              <w:rPr/>
            </w:pPr>
            <w:r>
              <w:rPr/>
              <w:t> </w:t>
            </w:r>
          </w:p>
        </w:tc>
      </w:tr>
      <w:tr>
        <w:trPr/>
        <w:tc>
          <w:tcPr>
            <w:tcW w:w="2945" w:type="dxa"/>
            <w:tcBorders/>
            <w:vAlign w:val="bottom"/>
          </w:tcPr>
          <w:p>
            <w:pPr>
              <w:pStyle w:val="TableContents"/>
              <w:bidi w:val="0"/>
              <w:spacing w:before="0" w:after="0"/>
              <w:ind w:left="180" w:right="0" w:hanging="0"/>
              <w:jc w:val="left"/>
              <w:rPr>
                <w:color w:val="000000"/>
              </w:rPr>
            </w:pPr>
            <w:r>
              <w:rPr>
                <w:color w:val="000000"/>
              </w:rPr>
              <w:t>Change in fair value</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100</w:t>
            </w:r>
          </w:p>
        </w:tc>
        <w:tc>
          <w:tcPr>
            <w:tcW w:w="60" w:type="dxa"/>
            <w:tcBorders/>
            <w:vAlign w:val="bottom"/>
          </w:tcPr>
          <w:p>
            <w:pPr>
              <w:pStyle w:val="TableContents"/>
              <w:bidi w:val="0"/>
              <w:spacing w:before="0" w:after="283"/>
              <w:jc w:val="left"/>
              <w:rPr/>
            </w:pPr>
            <w:r>
              <w:rPr/>
              <w:t> </w:t>
            </w:r>
          </w:p>
        </w:tc>
      </w:tr>
      <w:tr>
        <w:trPr/>
        <w:tc>
          <w:tcPr>
            <w:tcW w:w="2945" w:type="dxa"/>
            <w:tcBorders/>
            <w:shd w:fill="CCEEFF" w:val="clear"/>
            <w:vAlign w:val="bottom"/>
          </w:tcPr>
          <w:p>
            <w:pPr>
              <w:pStyle w:val="TableContents"/>
              <w:bidi w:val="0"/>
              <w:spacing w:before="0" w:after="0"/>
              <w:jc w:val="left"/>
              <w:rPr>
                <w:color w:val="000000"/>
              </w:rPr>
            </w:pPr>
            <w:r>
              <w:rPr>
                <w:color w:val="000000"/>
              </w:rPr>
              <w:t>Balance at June 30, 2026</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8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41,700</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Note 4— Investments in Marketable Securities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Investments in marketable available-for-sale securities consisted of the following (in thousands):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9" w:name="ze8561d4a74004982b3ed6366504f9a18"/>
      <w:bookmarkStart w:id="70" w:name="ze8561d4a74004982b3ed6366504f9a18"/>
      <w:bookmarkEnd w:id="70"/>
    </w:p>
    <w:tbl>
      <w:tblPr>
        <w:tblW w:w="8580" w:type="dxa"/>
        <w:jc w:val="left"/>
        <w:tblInd w:w="0" w:type="dxa"/>
        <w:tblLayout w:type="fixed"/>
        <w:tblCellMar>
          <w:top w:w="0" w:type="dxa"/>
          <w:left w:w="0" w:type="dxa"/>
          <w:bottom w:w="0" w:type="dxa"/>
          <w:right w:w="0" w:type="dxa"/>
        </w:tblCellMar>
      </w:tblPr>
      <w:tblGrid>
        <w:gridCol w:w="3575"/>
        <w:gridCol w:w="60"/>
        <w:gridCol w:w="187"/>
        <w:gridCol w:w="913"/>
        <w:gridCol w:w="60"/>
        <w:gridCol w:w="60"/>
        <w:gridCol w:w="395"/>
        <w:gridCol w:w="735"/>
        <w:gridCol w:w="60"/>
        <w:gridCol w:w="60"/>
        <w:gridCol w:w="395"/>
        <w:gridCol w:w="735"/>
        <w:gridCol w:w="95"/>
        <w:gridCol w:w="60"/>
        <w:gridCol w:w="190"/>
        <w:gridCol w:w="925"/>
        <w:gridCol w:w="75"/>
      </w:tblGrid>
      <w:tr>
        <w:trPr/>
        <w:tc>
          <w:tcPr>
            <w:tcW w:w="35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0" w:type="dxa"/>
            <w:gridSpan w:val="14"/>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June 30, 2026</w:t>
            </w:r>
          </w:p>
        </w:tc>
        <w:tc>
          <w:tcPr>
            <w:tcW w:w="75" w:type="dxa"/>
            <w:tcBorders/>
            <w:vAlign w:val="bottom"/>
          </w:tcPr>
          <w:p>
            <w:pPr>
              <w:pStyle w:val="TableContents"/>
              <w:bidi w:val="0"/>
              <w:spacing w:before="0" w:after="283"/>
              <w:jc w:val="left"/>
              <w:rPr/>
            </w:pPr>
            <w:r>
              <w:rPr/>
              <w:t> </w:t>
            </w:r>
          </w:p>
        </w:tc>
      </w:tr>
      <w:tr>
        <w:trPr/>
        <w:tc>
          <w:tcPr>
            <w:tcW w:w="35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Amortized</w:t>
            </w:r>
          </w:p>
          <w:p>
            <w:pPr>
              <w:pStyle w:val="TableContents"/>
              <w:bidi w:val="0"/>
              <w:spacing w:before="0" w:after="0"/>
              <w:jc w:val="center"/>
              <w:rPr>
                <w:b/>
                <w:color w:val="000000"/>
              </w:rPr>
            </w:pPr>
            <w:r>
              <w:rPr>
                <w:b/>
                <w:color w:val="000000"/>
              </w:rPr>
              <w:t>Cost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Gross</w:t>
            </w:r>
          </w:p>
          <w:p>
            <w:pPr>
              <w:pStyle w:val="TableContents"/>
              <w:bidi w:val="0"/>
              <w:spacing w:before="0" w:after="0"/>
              <w:jc w:val="center"/>
              <w:rPr>
                <w:b/>
                <w:color w:val="000000"/>
              </w:rPr>
            </w:pPr>
            <w:r>
              <w:rPr>
                <w:b/>
                <w:color w:val="000000"/>
              </w:rPr>
              <w:t>Unrealized</w:t>
            </w:r>
          </w:p>
          <w:p>
            <w:pPr>
              <w:pStyle w:val="TableContents"/>
              <w:bidi w:val="0"/>
              <w:spacing w:before="0" w:after="0"/>
              <w:jc w:val="center"/>
              <w:rPr>
                <w:b/>
                <w:color w:val="000000"/>
              </w:rPr>
            </w:pPr>
            <w:r>
              <w:rPr>
                <w:b/>
                <w:color w:val="000000"/>
              </w:rPr>
              <w:t>Gain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Gross</w:t>
            </w:r>
          </w:p>
          <w:p>
            <w:pPr>
              <w:pStyle w:val="TableContents"/>
              <w:bidi w:val="0"/>
              <w:spacing w:before="0" w:after="0"/>
              <w:jc w:val="center"/>
              <w:rPr>
                <w:b/>
                <w:color w:val="000000"/>
              </w:rPr>
            </w:pPr>
            <w:r>
              <w:rPr>
                <w:b/>
                <w:color w:val="000000"/>
              </w:rPr>
              <w:t>Unrealized</w:t>
            </w:r>
          </w:p>
          <w:p>
            <w:pPr>
              <w:pStyle w:val="TableContents"/>
              <w:bidi w:val="0"/>
              <w:spacing w:before="0" w:after="0"/>
              <w:jc w:val="center"/>
              <w:rPr>
                <w:b/>
                <w:color w:val="000000"/>
              </w:rPr>
            </w:pPr>
            <w:r>
              <w:rPr>
                <w:b/>
                <w:color w:val="000000"/>
              </w:rPr>
              <w:t>Loss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Estimated</w:t>
            </w:r>
          </w:p>
          <w:p>
            <w:pPr>
              <w:pStyle w:val="TableContents"/>
              <w:bidi w:val="0"/>
              <w:spacing w:before="0" w:after="0"/>
              <w:jc w:val="center"/>
              <w:rPr>
                <w:b/>
                <w:color w:val="000000"/>
              </w:rPr>
            </w:pPr>
            <w:r>
              <w:rPr>
                <w:b/>
                <w:color w:val="000000"/>
              </w:rPr>
              <w:t>Fair Value</w:t>
            </w:r>
          </w:p>
        </w:tc>
        <w:tc>
          <w:tcPr>
            <w:tcW w:w="75" w:type="dxa"/>
            <w:tcBorders/>
            <w:vAlign w:val="bottom"/>
          </w:tcPr>
          <w:p>
            <w:pPr>
              <w:pStyle w:val="TableContents"/>
              <w:bidi w:val="0"/>
              <w:spacing w:before="0" w:after="283"/>
              <w:jc w:val="left"/>
              <w:rPr/>
            </w:pPr>
            <w:r>
              <w:rPr/>
              <w:t> </w:t>
            </w:r>
          </w:p>
        </w:tc>
      </w:tr>
      <w:tr>
        <w:trPr/>
        <w:tc>
          <w:tcPr>
            <w:tcW w:w="3575" w:type="dxa"/>
            <w:tcBorders/>
            <w:vAlign w:val="bottom"/>
          </w:tcPr>
          <w:p>
            <w:pPr>
              <w:pStyle w:val="TableContents"/>
              <w:bidi w:val="0"/>
              <w:spacing w:before="0" w:after="0"/>
              <w:jc w:val="left"/>
              <w:rPr>
                <w:color w:val="000000"/>
              </w:rPr>
            </w:pPr>
            <w:r>
              <w:rPr>
                <w:color w:val="000000"/>
              </w:rPr>
              <w:t>Cash equivalents:</w:t>
            </w:r>
          </w:p>
        </w:tc>
        <w:tc>
          <w:tcPr>
            <w:tcW w:w="60" w:type="dxa"/>
            <w:tcBorders/>
            <w:vAlign w:val="bottom"/>
          </w:tcPr>
          <w:p>
            <w:pPr>
              <w:pStyle w:val="TableContents"/>
              <w:bidi w:val="0"/>
              <w:spacing w:before="0" w:after="283"/>
              <w:jc w:val="left"/>
              <w:rPr/>
            </w:pPr>
            <w:r>
              <w:rPr/>
              <w:t> </w:t>
            </w:r>
          </w:p>
        </w:tc>
        <w:tc>
          <w:tcPr>
            <w:tcW w:w="11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3575" w:type="dxa"/>
            <w:tcBorders/>
            <w:shd w:fill="CCEEFF" w:val="clear"/>
            <w:vAlign w:val="bottom"/>
          </w:tcPr>
          <w:p>
            <w:pPr>
              <w:pStyle w:val="TableContents"/>
              <w:bidi w:val="0"/>
              <w:spacing w:before="0" w:after="0"/>
              <w:ind w:left="180" w:right="0" w:hanging="0"/>
              <w:jc w:val="left"/>
              <w:rPr>
                <w:color w:val="000000"/>
              </w:rPr>
            </w:pPr>
            <w:r>
              <w:rPr>
                <w:color w:val="000000"/>
              </w:rPr>
              <w:t>Money market funds</w:t>
            </w:r>
          </w:p>
        </w:tc>
        <w:tc>
          <w:tcPr>
            <w:tcW w:w="60" w:type="dxa"/>
            <w:tcBorders/>
            <w:shd w:fill="CCEEFF" w:val="clear"/>
            <w:vAlign w:val="bottom"/>
          </w:tcPr>
          <w:p>
            <w:pPr>
              <w:pStyle w:val="TableContents"/>
              <w:bidi w:val="0"/>
              <w:spacing w:before="0" w:after="283"/>
              <w:jc w:val="right"/>
              <w:rPr/>
            </w:pPr>
            <w:r>
              <w:rPr/>
              <w:t> </w:t>
            </w:r>
          </w:p>
        </w:tc>
        <w:tc>
          <w:tcPr>
            <w:tcW w:w="187" w:type="dxa"/>
            <w:tcBorders/>
            <w:shd w:fill="CCEEFF" w:val="clear"/>
            <w:vAlign w:val="bottom"/>
          </w:tcPr>
          <w:p>
            <w:pPr>
              <w:pStyle w:val="TableContents"/>
              <w:bidi w:val="0"/>
              <w:spacing w:before="0" w:after="0"/>
              <w:jc w:val="left"/>
              <w:rPr>
                <w:color w:val="000000"/>
              </w:rPr>
            </w:pPr>
            <w:r>
              <w:rPr>
                <w:color w:val="000000"/>
              </w:rPr>
              <w:t>$</w:t>
            </w:r>
          </w:p>
        </w:tc>
        <w:tc>
          <w:tcPr>
            <w:tcW w:w="913" w:type="dxa"/>
            <w:tcBorders/>
            <w:shd w:fill="CCEEFF" w:val="clear"/>
            <w:vAlign w:val="bottom"/>
          </w:tcPr>
          <w:p>
            <w:pPr>
              <w:pStyle w:val="TableContents"/>
              <w:bidi w:val="0"/>
              <w:spacing w:before="0" w:after="0"/>
              <w:jc w:val="right"/>
              <w:rPr>
                <w:color w:val="000000"/>
              </w:rPr>
            </w:pPr>
            <w:r>
              <w:rPr>
                <w:color w:val="000000"/>
              </w:rPr>
              <w:t>50,261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95" w:type="dxa"/>
            <w:tcBorders/>
            <w:shd w:fill="CCEEFF" w:val="clear"/>
            <w:vAlign w:val="bottom"/>
          </w:tcPr>
          <w:p>
            <w:pPr>
              <w:pStyle w:val="TableContents"/>
              <w:bidi w:val="0"/>
              <w:spacing w:before="0" w:after="0"/>
              <w:jc w:val="left"/>
              <w:rPr>
                <w:color w:val="000000"/>
              </w:rPr>
            </w:pPr>
            <w:r>
              <w:rPr>
                <w:color w:val="000000"/>
              </w:rPr>
              <w:t>$</w:t>
            </w:r>
          </w:p>
        </w:tc>
        <w:tc>
          <w:tcPr>
            <w:tcW w:w="735"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95" w:type="dxa"/>
            <w:tcBorders/>
            <w:shd w:fill="CCEEFF" w:val="clear"/>
            <w:vAlign w:val="bottom"/>
          </w:tcPr>
          <w:p>
            <w:pPr>
              <w:pStyle w:val="TableContents"/>
              <w:bidi w:val="0"/>
              <w:spacing w:before="0" w:after="0"/>
              <w:jc w:val="left"/>
              <w:rPr>
                <w:color w:val="000000"/>
              </w:rPr>
            </w:pPr>
            <w:r>
              <w:rPr>
                <w:color w:val="000000"/>
              </w:rPr>
              <w:t>$</w:t>
            </w:r>
          </w:p>
        </w:tc>
        <w:tc>
          <w:tcPr>
            <w:tcW w:w="735"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0"/>
              <w:jc w:val="left"/>
              <w:rPr>
                <w:color w:val="000000"/>
              </w:rPr>
            </w:pPr>
            <w:r>
              <w:rPr>
                <w:color w:val="000000"/>
              </w:rPr>
              <w:t>$</w:t>
            </w:r>
          </w:p>
        </w:tc>
        <w:tc>
          <w:tcPr>
            <w:tcW w:w="925" w:type="dxa"/>
            <w:tcBorders/>
            <w:shd w:fill="CCEEFF" w:val="clear"/>
            <w:vAlign w:val="bottom"/>
          </w:tcPr>
          <w:p>
            <w:pPr>
              <w:pStyle w:val="TableContents"/>
              <w:bidi w:val="0"/>
              <w:spacing w:before="0" w:after="0"/>
              <w:jc w:val="right"/>
              <w:rPr>
                <w:color w:val="000000"/>
              </w:rPr>
            </w:pPr>
            <w:r>
              <w:rPr>
                <w:color w:val="000000"/>
              </w:rPr>
              <w:t>50,261</w:t>
            </w:r>
          </w:p>
        </w:tc>
        <w:tc>
          <w:tcPr>
            <w:tcW w:w="75" w:type="dxa"/>
            <w:tcBorders/>
            <w:shd w:fill="CCEEFF" w:val="clear"/>
            <w:vAlign w:val="bottom"/>
          </w:tcPr>
          <w:p>
            <w:pPr>
              <w:pStyle w:val="TableContents"/>
              <w:bidi w:val="0"/>
              <w:spacing w:before="0" w:after="283"/>
              <w:jc w:val="left"/>
              <w:rPr/>
            </w:pPr>
            <w:r>
              <w:rPr/>
              <w:t> </w:t>
            </w:r>
          </w:p>
        </w:tc>
      </w:tr>
      <w:tr>
        <w:trPr/>
        <w:tc>
          <w:tcPr>
            <w:tcW w:w="3575" w:type="dxa"/>
            <w:tcBorders/>
            <w:vAlign w:val="bottom"/>
          </w:tcPr>
          <w:p>
            <w:pPr>
              <w:pStyle w:val="TableContents"/>
              <w:bidi w:val="0"/>
              <w:spacing w:before="0" w:after="0"/>
              <w:ind w:left="180" w:right="0" w:hanging="0"/>
              <w:jc w:val="left"/>
              <w:rPr>
                <w:color w:val="000000"/>
              </w:rPr>
            </w:pPr>
            <w:r>
              <w:rPr>
                <w:color w:val="000000"/>
              </w:rPr>
              <w:t>U.S. treasury securities</w:t>
            </w:r>
          </w:p>
        </w:tc>
        <w:tc>
          <w:tcPr>
            <w:tcW w:w="60" w:type="dxa"/>
            <w:tcBorders/>
            <w:vAlign w:val="bottom"/>
          </w:tcPr>
          <w:p>
            <w:pPr>
              <w:pStyle w:val="TableContents"/>
              <w:bidi w:val="0"/>
              <w:spacing w:before="0" w:after="283"/>
              <w:jc w:val="right"/>
              <w:rPr/>
            </w:pPr>
            <w:r>
              <w:rPr/>
              <w:t> </w:t>
            </w:r>
          </w:p>
        </w:tc>
        <w:tc>
          <w:tcPr>
            <w:tcW w:w="187" w:type="dxa"/>
            <w:tcBorders>
              <w:bottom w:val="single" w:sz="12" w:space="0" w:color="000000"/>
            </w:tcBorders>
            <w:tcMar>
              <w:bottom w:w="28" w:type="dxa"/>
            </w:tcMar>
            <w:vAlign w:val="bottom"/>
          </w:tcPr>
          <w:p>
            <w:pPr>
              <w:pStyle w:val="TableContents"/>
              <w:bidi w:val="0"/>
              <w:spacing w:before="0" w:after="283"/>
              <w:jc w:val="left"/>
              <w:rPr/>
            </w:pPr>
            <w:r>
              <w:rPr/>
              <w:t> </w:t>
            </w:r>
          </w:p>
        </w:tc>
        <w:tc>
          <w:tcPr>
            <w:tcW w:w="91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17,658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95" w:type="dxa"/>
            <w:tcBorders>
              <w:bottom w:val="single" w:sz="12" w:space="0" w:color="000000"/>
            </w:tcBorders>
            <w:tcMar>
              <w:bottom w:w="28" w:type="dxa"/>
            </w:tcMar>
            <w:vAlign w:val="bottom"/>
          </w:tcPr>
          <w:p>
            <w:pPr>
              <w:pStyle w:val="TableContents"/>
              <w:bidi w:val="0"/>
              <w:spacing w:before="0" w:after="283"/>
              <w:jc w:val="left"/>
              <w:rPr/>
            </w:pPr>
            <w:r>
              <w:rPr/>
              <w:t> </w:t>
            </w:r>
          </w:p>
        </w:tc>
        <w:tc>
          <w:tcPr>
            <w:tcW w:w="73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95" w:type="dxa"/>
            <w:tcBorders>
              <w:bottom w:val="single" w:sz="12" w:space="0" w:color="000000"/>
            </w:tcBorders>
            <w:tcMar>
              <w:bottom w:w="28" w:type="dxa"/>
            </w:tcMar>
            <w:vAlign w:val="bottom"/>
          </w:tcPr>
          <w:p>
            <w:pPr>
              <w:pStyle w:val="TableContents"/>
              <w:bidi w:val="0"/>
              <w:spacing w:before="0" w:after="283"/>
              <w:jc w:val="left"/>
              <w:rPr/>
            </w:pPr>
            <w:r>
              <w:rPr/>
              <w:t> </w:t>
            </w:r>
          </w:p>
        </w:tc>
        <w:tc>
          <w:tcPr>
            <w:tcW w:w="73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0" w:type="dxa"/>
            <w:tcBorders>
              <w:bottom w:val="single" w:sz="12" w:space="0" w:color="000000"/>
            </w:tcBorders>
            <w:tcMar>
              <w:bottom w:w="28" w:type="dxa"/>
            </w:tcMar>
            <w:vAlign w:val="bottom"/>
          </w:tcPr>
          <w:p>
            <w:pPr>
              <w:pStyle w:val="TableContents"/>
              <w:bidi w:val="0"/>
              <w:spacing w:before="0" w:after="283"/>
              <w:jc w:val="left"/>
              <w:rPr/>
            </w:pPr>
            <w:r>
              <w:rPr/>
              <w:t> </w:t>
            </w:r>
          </w:p>
        </w:tc>
        <w:tc>
          <w:tcPr>
            <w:tcW w:w="92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17,658</w:t>
            </w:r>
          </w:p>
        </w:tc>
        <w:tc>
          <w:tcPr>
            <w:tcW w:w="75" w:type="dxa"/>
            <w:tcBorders/>
            <w:vAlign w:val="bottom"/>
          </w:tcPr>
          <w:p>
            <w:pPr>
              <w:pStyle w:val="TableContents"/>
              <w:bidi w:val="0"/>
              <w:spacing w:before="0" w:after="283"/>
              <w:jc w:val="left"/>
              <w:rPr/>
            </w:pPr>
            <w:r>
              <w:rPr/>
              <w:t> </w:t>
            </w:r>
          </w:p>
        </w:tc>
      </w:tr>
      <w:tr>
        <w:trPr/>
        <w:tc>
          <w:tcPr>
            <w:tcW w:w="3575" w:type="dxa"/>
            <w:tcBorders/>
            <w:shd w:fill="CCEEFF" w:val="clear"/>
            <w:vAlign w:val="bottom"/>
          </w:tcPr>
          <w:p>
            <w:pPr>
              <w:pStyle w:val="TableContents"/>
              <w:bidi w:val="0"/>
              <w:spacing w:before="0" w:after="0"/>
              <w:ind w:left="360" w:right="0" w:hanging="0"/>
              <w:jc w:val="left"/>
              <w:rPr>
                <w:color w:val="000000"/>
              </w:rPr>
            </w:pPr>
            <w:r>
              <w:rPr>
                <w:color w:val="000000"/>
              </w:rPr>
              <w:t>Total cash equivalents</w:t>
            </w:r>
          </w:p>
        </w:tc>
        <w:tc>
          <w:tcPr>
            <w:tcW w:w="60" w:type="dxa"/>
            <w:tcBorders/>
            <w:shd w:fill="CCEEFF" w:val="clear"/>
            <w:vAlign w:val="bottom"/>
          </w:tcPr>
          <w:p>
            <w:pPr>
              <w:pStyle w:val="TableContents"/>
              <w:bidi w:val="0"/>
              <w:spacing w:before="0" w:after="283"/>
              <w:jc w:val="right"/>
              <w:rPr/>
            </w:pPr>
            <w:r>
              <w:rPr/>
              <w:t> </w:t>
            </w:r>
          </w:p>
        </w:tc>
        <w:tc>
          <w:tcPr>
            <w:tcW w:w="187" w:type="dxa"/>
            <w:tcBorders/>
            <w:shd w:fill="CCEEFF" w:val="clear"/>
            <w:vAlign w:val="bottom"/>
          </w:tcPr>
          <w:p>
            <w:pPr>
              <w:pStyle w:val="TableContents"/>
              <w:bidi w:val="0"/>
              <w:spacing w:before="0" w:after="283"/>
              <w:jc w:val="left"/>
              <w:rPr/>
            </w:pPr>
            <w:r>
              <w:rPr/>
              <w:t> </w:t>
            </w:r>
          </w:p>
        </w:tc>
        <w:tc>
          <w:tcPr>
            <w:tcW w:w="913" w:type="dxa"/>
            <w:tcBorders/>
            <w:shd w:fill="CCEEFF" w:val="clear"/>
            <w:vAlign w:val="bottom"/>
          </w:tcPr>
          <w:p>
            <w:pPr>
              <w:pStyle w:val="TableContents"/>
              <w:bidi w:val="0"/>
              <w:spacing w:before="0" w:after="0"/>
              <w:jc w:val="right"/>
              <w:rPr>
                <w:color w:val="000000"/>
              </w:rPr>
            </w:pPr>
            <w:r>
              <w:rPr>
                <w:color w:val="000000"/>
              </w:rPr>
              <w:t>67,919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9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9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0"/>
              <w:jc w:val="right"/>
              <w:rPr>
                <w:color w:val="000000"/>
              </w:rPr>
            </w:pPr>
            <w:r>
              <w:rPr>
                <w:color w:val="000000"/>
              </w:rPr>
              <w:t>67,919</w:t>
            </w:r>
          </w:p>
        </w:tc>
        <w:tc>
          <w:tcPr>
            <w:tcW w:w="75" w:type="dxa"/>
            <w:tcBorders/>
            <w:shd w:fill="CCEEFF" w:val="clear"/>
            <w:vAlign w:val="bottom"/>
          </w:tcPr>
          <w:p>
            <w:pPr>
              <w:pStyle w:val="TableContents"/>
              <w:bidi w:val="0"/>
              <w:spacing w:before="0" w:after="283"/>
              <w:jc w:val="left"/>
              <w:rPr/>
            </w:pPr>
            <w:r>
              <w:rPr/>
              <w:t> </w:t>
            </w:r>
          </w:p>
        </w:tc>
      </w:tr>
      <w:tr>
        <w:trPr/>
        <w:tc>
          <w:tcPr>
            <w:tcW w:w="3575" w:type="dxa"/>
            <w:tcBorders/>
            <w:vAlign w:val="bottom"/>
          </w:tcPr>
          <w:p>
            <w:pPr>
              <w:pStyle w:val="TableContents"/>
              <w:bidi w:val="0"/>
              <w:spacing w:before="0" w:after="0"/>
              <w:jc w:val="left"/>
              <w:rPr>
                <w:color w:val="000000"/>
              </w:rPr>
            </w:pPr>
            <w:r>
              <w:rPr>
                <w:color w:val="000000"/>
              </w:rPr>
              <w:t>Short-term marketable securities:</w:t>
            </w:r>
          </w:p>
        </w:tc>
        <w:tc>
          <w:tcPr>
            <w:tcW w:w="60" w:type="dxa"/>
            <w:tcBorders/>
            <w:vAlign w:val="bottom"/>
          </w:tcPr>
          <w:p>
            <w:pPr>
              <w:pStyle w:val="TableContents"/>
              <w:bidi w:val="0"/>
              <w:spacing w:before="0" w:after="283"/>
              <w:jc w:val="right"/>
              <w:rPr/>
            </w:pPr>
            <w:r>
              <w:rPr/>
              <w:t> </w:t>
            </w:r>
          </w:p>
        </w:tc>
        <w:tc>
          <w:tcPr>
            <w:tcW w:w="187" w:type="dxa"/>
            <w:tcBorders/>
            <w:vAlign w:val="bottom"/>
          </w:tcPr>
          <w:p>
            <w:pPr>
              <w:pStyle w:val="TableContents"/>
              <w:bidi w:val="0"/>
              <w:spacing w:before="0" w:after="283"/>
              <w:jc w:val="left"/>
              <w:rPr/>
            </w:pPr>
            <w:r>
              <w:rPr/>
              <w:t> </w:t>
            </w:r>
          </w:p>
        </w:tc>
        <w:tc>
          <w:tcPr>
            <w:tcW w:w="91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9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9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3575" w:type="dxa"/>
            <w:tcBorders/>
            <w:shd w:fill="CCEEFF" w:val="clear"/>
            <w:vAlign w:val="bottom"/>
          </w:tcPr>
          <w:p>
            <w:pPr>
              <w:pStyle w:val="TableContents"/>
              <w:bidi w:val="0"/>
              <w:spacing w:before="0" w:after="0"/>
              <w:ind w:left="180" w:right="0" w:hanging="0"/>
              <w:jc w:val="left"/>
              <w:rPr>
                <w:color w:val="000000"/>
              </w:rPr>
            </w:pPr>
            <w:r>
              <w:rPr>
                <w:color w:val="000000"/>
              </w:rPr>
              <w:t>U.S. treasury securities</w:t>
            </w:r>
          </w:p>
        </w:tc>
        <w:tc>
          <w:tcPr>
            <w:tcW w:w="60" w:type="dxa"/>
            <w:tcBorders/>
            <w:shd w:fill="CCEEFF" w:val="clear"/>
            <w:vAlign w:val="bottom"/>
          </w:tcPr>
          <w:p>
            <w:pPr>
              <w:pStyle w:val="TableContents"/>
              <w:bidi w:val="0"/>
              <w:spacing w:before="0" w:after="283"/>
              <w:jc w:val="right"/>
              <w:rPr/>
            </w:pPr>
            <w:r>
              <w:rPr/>
              <w:t> </w:t>
            </w:r>
          </w:p>
        </w:tc>
        <w:tc>
          <w:tcPr>
            <w:tcW w:w="18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1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16,558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9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3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9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3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2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16,557</w:t>
            </w:r>
          </w:p>
        </w:tc>
        <w:tc>
          <w:tcPr>
            <w:tcW w:w="75" w:type="dxa"/>
            <w:tcBorders/>
            <w:shd w:fill="CCEEFF" w:val="clear"/>
            <w:vAlign w:val="bottom"/>
          </w:tcPr>
          <w:p>
            <w:pPr>
              <w:pStyle w:val="TableContents"/>
              <w:bidi w:val="0"/>
              <w:spacing w:before="0" w:after="283"/>
              <w:jc w:val="left"/>
              <w:rPr/>
            </w:pPr>
            <w:r>
              <w:rPr/>
              <w:t> </w:t>
            </w:r>
          </w:p>
        </w:tc>
      </w:tr>
      <w:tr>
        <w:trPr/>
        <w:tc>
          <w:tcPr>
            <w:tcW w:w="3575" w:type="dxa"/>
            <w:tcBorders/>
            <w:vAlign w:val="bottom"/>
          </w:tcPr>
          <w:p>
            <w:pPr>
              <w:pStyle w:val="TableContents"/>
              <w:bidi w:val="0"/>
              <w:spacing w:before="0" w:after="0"/>
              <w:ind w:left="360" w:right="0" w:hanging="0"/>
              <w:jc w:val="left"/>
              <w:rPr>
                <w:color w:val="000000"/>
              </w:rPr>
            </w:pPr>
            <w:r>
              <w:rPr>
                <w:color w:val="000000"/>
              </w:rPr>
              <w:t>Total short-term marketable securities</w:t>
            </w:r>
          </w:p>
        </w:tc>
        <w:tc>
          <w:tcPr>
            <w:tcW w:w="60" w:type="dxa"/>
            <w:tcBorders/>
            <w:vAlign w:val="bottom"/>
          </w:tcPr>
          <w:p>
            <w:pPr>
              <w:pStyle w:val="TableContents"/>
              <w:bidi w:val="0"/>
              <w:spacing w:before="0" w:after="283"/>
              <w:jc w:val="right"/>
              <w:rPr/>
            </w:pPr>
            <w:r>
              <w:rPr/>
              <w:t> </w:t>
            </w:r>
          </w:p>
        </w:tc>
        <w:tc>
          <w:tcPr>
            <w:tcW w:w="187" w:type="dxa"/>
            <w:tcBorders>
              <w:bottom w:val="single" w:sz="12" w:space="0" w:color="000000"/>
            </w:tcBorders>
            <w:tcMar>
              <w:bottom w:w="28" w:type="dxa"/>
            </w:tcMar>
            <w:vAlign w:val="bottom"/>
          </w:tcPr>
          <w:p>
            <w:pPr>
              <w:pStyle w:val="TableContents"/>
              <w:bidi w:val="0"/>
              <w:spacing w:before="0" w:after="283"/>
              <w:jc w:val="left"/>
              <w:rPr/>
            </w:pPr>
            <w:r>
              <w:rPr/>
              <w:t> </w:t>
            </w:r>
          </w:p>
        </w:tc>
        <w:tc>
          <w:tcPr>
            <w:tcW w:w="91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16,558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95" w:type="dxa"/>
            <w:tcBorders>
              <w:bottom w:val="single" w:sz="12" w:space="0" w:color="000000"/>
            </w:tcBorders>
            <w:tcMar>
              <w:bottom w:w="28" w:type="dxa"/>
            </w:tcMar>
            <w:vAlign w:val="bottom"/>
          </w:tcPr>
          <w:p>
            <w:pPr>
              <w:pStyle w:val="TableContents"/>
              <w:bidi w:val="0"/>
              <w:spacing w:before="0" w:after="283"/>
              <w:jc w:val="left"/>
              <w:rPr/>
            </w:pPr>
            <w:r>
              <w:rPr/>
              <w:t> </w:t>
            </w:r>
          </w:p>
        </w:tc>
        <w:tc>
          <w:tcPr>
            <w:tcW w:w="73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95" w:type="dxa"/>
            <w:tcBorders>
              <w:bottom w:val="single" w:sz="12" w:space="0" w:color="000000"/>
            </w:tcBorders>
            <w:tcMar>
              <w:bottom w:w="28" w:type="dxa"/>
            </w:tcMar>
            <w:vAlign w:val="bottom"/>
          </w:tcPr>
          <w:p>
            <w:pPr>
              <w:pStyle w:val="TableContents"/>
              <w:bidi w:val="0"/>
              <w:spacing w:before="0" w:after="283"/>
              <w:jc w:val="left"/>
              <w:rPr/>
            </w:pPr>
            <w:r>
              <w:rPr/>
              <w:t> </w:t>
            </w:r>
          </w:p>
        </w:tc>
        <w:tc>
          <w:tcPr>
            <w:tcW w:w="73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90" w:type="dxa"/>
            <w:tcBorders>
              <w:bottom w:val="single" w:sz="12" w:space="0" w:color="000000"/>
            </w:tcBorders>
            <w:tcMar>
              <w:bottom w:w="28" w:type="dxa"/>
            </w:tcMar>
            <w:vAlign w:val="bottom"/>
          </w:tcPr>
          <w:p>
            <w:pPr>
              <w:pStyle w:val="TableContents"/>
              <w:bidi w:val="0"/>
              <w:spacing w:before="0" w:after="283"/>
              <w:jc w:val="left"/>
              <w:rPr/>
            </w:pPr>
            <w:r>
              <w:rPr/>
              <w:t> </w:t>
            </w:r>
          </w:p>
        </w:tc>
        <w:tc>
          <w:tcPr>
            <w:tcW w:w="92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16,557</w:t>
            </w:r>
          </w:p>
        </w:tc>
        <w:tc>
          <w:tcPr>
            <w:tcW w:w="75" w:type="dxa"/>
            <w:tcBorders/>
            <w:vAlign w:val="bottom"/>
          </w:tcPr>
          <w:p>
            <w:pPr>
              <w:pStyle w:val="TableContents"/>
              <w:bidi w:val="0"/>
              <w:spacing w:before="0" w:after="283"/>
              <w:jc w:val="left"/>
              <w:rPr/>
            </w:pPr>
            <w:r>
              <w:rPr/>
              <w:t> </w:t>
            </w:r>
          </w:p>
        </w:tc>
      </w:tr>
      <w:tr>
        <w:trPr/>
        <w:tc>
          <w:tcPr>
            <w:tcW w:w="3575" w:type="dxa"/>
            <w:tcBorders/>
            <w:shd w:fill="CCEEFF" w:val="clear"/>
            <w:vAlign w:val="bottom"/>
          </w:tcPr>
          <w:p>
            <w:pPr>
              <w:pStyle w:val="TableContents"/>
              <w:bidi w:val="0"/>
              <w:spacing w:before="0" w:after="0"/>
              <w:jc w:val="left"/>
              <w:rPr>
                <w:color w:val="000000"/>
              </w:rPr>
            </w:pPr>
            <w:r>
              <w:rPr>
                <w:color w:val="000000"/>
              </w:rPr>
              <w:t>Total assets measured at fair value</w:t>
            </w:r>
          </w:p>
        </w:tc>
        <w:tc>
          <w:tcPr>
            <w:tcW w:w="60" w:type="dxa"/>
            <w:tcBorders/>
            <w:shd w:fill="CCEEFF" w:val="clear"/>
            <w:vAlign w:val="bottom"/>
          </w:tcPr>
          <w:p>
            <w:pPr>
              <w:pStyle w:val="TableContents"/>
              <w:bidi w:val="0"/>
              <w:spacing w:before="0" w:after="283"/>
              <w:jc w:val="right"/>
              <w:rPr/>
            </w:pPr>
            <w:r>
              <w:rPr/>
              <w:t> </w:t>
            </w:r>
          </w:p>
        </w:tc>
        <w:tc>
          <w:tcPr>
            <w:tcW w:w="187"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1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84,477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95"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3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95"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3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9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2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84,476</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1" w:name="z3f9bf9501b7a4543b3e7a90f20e0997a"/>
      <w:bookmarkStart w:id="72" w:name="z3f9bf9501b7a4543b3e7a90f20e0997a"/>
      <w:bookmarkEnd w:id="72"/>
    </w:p>
    <w:tbl>
      <w:tblPr>
        <w:tblW w:w="9090" w:type="dxa"/>
        <w:jc w:val="left"/>
        <w:tblInd w:w="0" w:type="dxa"/>
        <w:tblLayout w:type="fixed"/>
        <w:tblCellMar>
          <w:top w:w="0" w:type="dxa"/>
          <w:left w:w="0" w:type="dxa"/>
          <w:bottom w:w="0" w:type="dxa"/>
          <w:right w:w="0" w:type="dxa"/>
        </w:tblCellMar>
      </w:tblPr>
      <w:tblGrid>
        <w:gridCol w:w="3575"/>
        <w:gridCol w:w="60"/>
        <w:gridCol w:w="163"/>
        <w:gridCol w:w="937"/>
        <w:gridCol w:w="60"/>
        <w:gridCol w:w="60"/>
        <w:gridCol w:w="395"/>
        <w:gridCol w:w="735"/>
        <w:gridCol w:w="60"/>
        <w:gridCol w:w="60"/>
        <w:gridCol w:w="579"/>
        <w:gridCol w:w="1076"/>
        <w:gridCol w:w="60"/>
        <w:gridCol w:w="60"/>
        <w:gridCol w:w="169"/>
        <w:gridCol w:w="966"/>
        <w:gridCol w:w="75"/>
      </w:tblGrid>
      <w:tr>
        <w:trPr/>
        <w:tc>
          <w:tcPr>
            <w:tcW w:w="35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80" w:type="dxa"/>
            <w:gridSpan w:val="14"/>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 2025</w:t>
            </w:r>
          </w:p>
        </w:tc>
        <w:tc>
          <w:tcPr>
            <w:tcW w:w="75" w:type="dxa"/>
            <w:tcBorders/>
            <w:vAlign w:val="bottom"/>
          </w:tcPr>
          <w:p>
            <w:pPr>
              <w:pStyle w:val="TableContents"/>
              <w:bidi w:val="0"/>
              <w:spacing w:before="0" w:after="283"/>
              <w:jc w:val="left"/>
              <w:rPr/>
            </w:pPr>
            <w:r>
              <w:rPr/>
              <w:t> </w:t>
            </w:r>
          </w:p>
        </w:tc>
      </w:tr>
      <w:tr>
        <w:trPr/>
        <w:tc>
          <w:tcPr>
            <w:tcW w:w="35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Amortized</w:t>
            </w:r>
          </w:p>
          <w:p>
            <w:pPr>
              <w:pStyle w:val="TableContents"/>
              <w:bidi w:val="0"/>
              <w:spacing w:before="0" w:after="0"/>
              <w:jc w:val="center"/>
              <w:rPr>
                <w:b/>
                <w:color w:val="000000"/>
              </w:rPr>
            </w:pPr>
            <w:r>
              <w:rPr>
                <w:b/>
                <w:color w:val="000000"/>
              </w:rPr>
              <w:t>Cost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Gross</w:t>
            </w:r>
          </w:p>
          <w:p>
            <w:pPr>
              <w:pStyle w:val="TableContents"/>
              <w:bidi w:val="0"/>
              <w:spacing w:before="0" w:after="0"/>
              <w:jc w:val="center"/>
              <w:rPr>
                <w:b/>
                <w:color w:val="000000"/>
              </w:rPr>
            </w:pPr>
            <w:r>
              <w:rPr>
                <w:b/>
                <w:color w:val="000000"/>
              </w:rPr>
              <w:t>Unrealized</w:t>
            </w:r>
          </w:p>
          <w:p>
            <w:pPr>
              <w:pStyle w:val="TableContents"/>
              <w:bidi w:val="0"/>
              <w:spacing w:before="0" w:after="0"/>
              <w:jc w:val="center"/>
              <w:rPr>
                <w:b/>
                <w:color w:val="000000"/>
              </w:rPr>
            </w:pPr>
            <w:r>
              <w:rPr>
                <w:b/>
                <w:color w:val="000000"/>
              </w:rPr>
              <w:t>Gain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Gross</w:t>
            </w:r>
          </w:p>
          <w:p>
            <w:pPr>
              <w:pStyle w:val="TableContents"/>
              <w:bidi w:val="0"/>
              <w:spacing w:before="0" w:after="0"/>
              <w:jc w:val="center"/>
              <w:rPr>
                <w:b/>
                <w:color w:val="000000"/>
              </w:rPr>
            </w:pPr>
            <w:r>
              <w:rPr>
                <w:b/>
                <w:color w:val="000000"/>
              </w:rPr>
              <w:t>Unrealized Loss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5" w:type="dxa"/>
            <w:gridSpan w:val="2"/>
            <w:tcBorders>
              <w:bottom w:val="single" w:sz="12" w:space="0" w:color="000000"/>
            </w:tcBorders>
            <w:tcMar>
              <w:bottom w:w="28" w:type="dxa"/>
            </w:tcMar>
            <w:vAlign w:val="bottom"/>
          </w:tcPr>
          <w:p>
            <w:pPr>
              <w:pStyle w:val="TableContents"/>
              <w:bidi w:val="0"/>
              <w:spacing w:before="0" w:after="0"/>
              <w:ind w:left="0" w:right="0" w:firstLine="20"/>
              <w:jc w:val="center"/>
              <w:rPr>
                <w:b/>
                <w:color w:val="000000"/>
              </w:rPr>
            </w:pPr>
            <w:r>
              <w:rPr>
                <w:b/>
                <w:color w:val="000000"/>
              </w:rPr>
              <w:t>Estimated</w:t>
            </w:r>
          </w:p>
          <w:p>
            <w:pPr>
              <w:pStyle w:val="TableContents"/>
              <w:bidi w:val="0"/>
              <w:spacing w:before="0" w:after="0"/>
              <w:ind w:left="0" w:right="0" w:firstLine="20"/>
              <w:jc w:val="center"/>
              <w:rPr>
                <w:b/>
                <w:color w:val="000000"/>
              </w:rPr>
            </w:pPr>
            <w:r>
              <w:rPr>
                <w:b/>
                <w:color w:val="000000"/>
              </w:rPr>
              <w:t>Fair Value</w:t>
            </w:r>
          </w:p>
        </w:tc>
        <w:tc>
          <w:tcPr>
            <w:tcW w:w="75" w:type="dxa"/>
            <w:tcBorders/>
            <w:vAlign w:val="bottom"/>
          </w:tcPr>
          <w:p>
            <w:pPr>
              <w:pStyle w:val="TableContents"/>
              <w:bidi w:val="0"/>
              <w:spacing w:before="0" w:after="283"/>
              <w:jc w:val="left"/>
              <w:rPr/>
            </w:pPr>
            <w:r>
              <w:rPr/>
              <w:t> </w:t>
            </w:r>
          </w:p>
        </w:tc>
      </w:tr>
      <w:tr>
        <w:trPr/>
        <w:tc>
          <w:tcPr>
            <w:tcW w:w="3575" w:type="dxa"/>
            <w:tcBorders/>
            <w:vAlign w:val="bottom"/>
          </w:tcPr>
          <w:p>
            <w:pPr>
              <w:pStyle w:val="TableContents"/>
              <w:bidi w:val="0"/>
              <w:spacing w:before="0" w:after="0"/>
              <w:jc w:val="left"/>
              <w:rPr>
                <w:color w:val="000000"/>
              </w:rPr>
            </w:pPr>
            <w:r>
              <w:rPr>
                <w:color w:val="000000"/>
              </w:rPr>
              <w:t>Cash equivalents:</w:t>
            </w:r>
          </w:p>
        </w:tc>
        <w:tc>
          <w:tcPr>
            <w:tcW w:w="60" w:type="dxa"/>
            <w:tcBorders/>
            <w:vAlign w:val="bottom"/>
          </w:tcPr>
          <w:p>
            <w:pPr>
              <w:pStyle w:val="TableContents"/>
              <w:bidi w:val="0"/>
              <w:spacing w:before="0" w:after="283"/>
              <w:jc w:val="left"/>
              <w:rPr/>
            </w:pPr>
            <w:r>
              <w:rPr/>
              <w:t> </w:t>
            </w:r>
          </w:p>
        </w:tc>
        <w:tc>
          <w:tcPr>
            <w:tcW w:w="11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5"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3575" w:type="dxa"/>
            <w:tcBorders/>
            <w:shd w:fill="CCEEFF" w:val="clear"/>
            <w:vAlign w:val="bottom"/>
          </w:tcPr>
          <w:p>
            <w:pPr>
              <w:pStyle w:val="TableContents"/>
              <w:bidi w:val="0"/>
              <w:spacing w:before="0" w:after="0"/>
              <w:ind w:left="180" w:right="0" w:hanging="0"/>
              <w:jc w:val="left"/>
              <w:rPr>
                <w:color w:val="000000"/>
              </w:rPr>
            </w:pPr>
            <w:r>
              <w:rPr>
                <w:color w:val="000000"/>
              </w:rPr>
              <w:t>Money market funds</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0"/>
              <w:jc w:val="left"/>
              <w:rPr>
                <w:color w:val="000000"/>
              </w:rPr>
            </w:pPr>
            <w:r>
              <w:rPr>
                <w:color w:val="000000"/>
              </w:rPr>
              <w:t>$</w:t>
            </w:r>
          </w:p>
        </w:tc>
        <w:tc>
          <w:tcPr>
            <w:tcW w:w="937" w:type="dxa"/>
            <w:tcBorders/>
            <w:shd w:fill="CCEEFF" w:val="clear"/>
            <w:vAlign w:val="bottom"/>
          </w:tcPr>
          <w:p>
            <w:pPr>
              <w:pStyle w:val="TableContents"/>
              <w:bidi w:val="0"/>
              <w:spacing w:before="0" w:after="0"/>
              <w:jc w:val="right"/>
              <w:rPr>
                <w:color w:val="000000"/>
              </w:rPr>
            </w:pPr>
            <w:r>
              <w:rPr>
                <w:color w:val="000000"/>
              </w:rPr>
              <w:t>40,320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0"/>
              <w:jc w:val="left"/>
              <w:rPr>
                <w:color w:val="000000"/>
              </w:rPr>
            </w:pPr>
            <w:r>
              <w:rPr>
                <w:color w:val="000000"/>
              </w:rPr>
              <w:t>$</w:t>
            </w:r>
          </w:p>
        </w:tc>
        <w:tc>
          <w:tcPr>
            <w:tcW w:w="735"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9" w:type="dxa"/>
            <w:tcBorders/>
            <w:shd w:fill="CCEEFF" w:val="clear"/>
            <w:vAlign w:val="bottom"/>
          </w:tcPr>
          <w:p>
            <w:pPr>
              <w:pStyle w:val="TableContents"/>
              <w:bidi w:val="0"/>
              <w:spacing w:before="0" w:after="0"/>
              <w:jc w:val="left"/>
              <w:rPr>
                <w:color w:val="000000"/>
              </w:rPr>
            </w:pPr>
            <w:r>
              <w:rPr>
                <w:color w:val="000000"/>
              </w:rPr>
              <w:t>$</w:t>
            </w:r>
          </w:p>
        </w:tc>
        <w:tc>
          <w:tcPr>
            <w:tcW w:w="1076"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0"/>
              <w:jc w:val="left"/>
              <w:rPr>
                <w:color w:val="000000"/>
              </w:rPr>
            </w:pPr>
            <w:r>
              <w:rPr>
                <w:color w:val="000000"/>
              </w:rPr>
              <w:t>$</w:t>
            </w:r>
          </w:p>
        </w:tc>
        <w:tc>
          <w:tcPr>
            <w:tcW w:w="966" w:type="dxa"/>
            <w:tcBorders/>
            <w:shd w:fill="CCEEFF" w:val="clear"/>
            <w:vAlign w:val="bottom"/>
          </w:tcPr>
          <w:p>
            <w:pPr>
              <w:pStyle w:val="TableContents"/>
              <w:bidi w:val="0"/>
              <w:spacing w:before="0" w:after="0"/>
              <w:jc w:val="right"/>
              <w:rPr>
                <w:color w:val="000000"/>
              </w:rPr>
            </w:pPr>
            <w:r>
              <w:rPr>
                <w:color w:val="000000"/>
              </w:rPr>
              <w:t>40,320</w:t>
            </w:r>
          </w:p>
        </w:tc>
        <w:tc>
          <w:tcPr>
            <w:tcW w:w="75" w:type="dxa"/>
            <w:tcBorders/>
            <w:shd w:fill="CCEEFF" w:val="clear"/>
            <w:vAlign w:val="bottom"/>
          </w:tcPr>
          <w:p>
            <w:pPr>
              <w:pStyle w:val="TableContents"/>
              <w:bidi w:val="0"/>
              <w:spacing w:before="0" w:after="283"/>
              <w:jc w:val="left"/>
              <w:rPr/>
            </w:pPr>
            <w:r>
              <w:rPr/>
              <w:t> </w:t>
            </w:r>
          </w:p>
        </w:tc>
      </w:tr>
      <w:tr>
        <w:trPr/>
        <w:tc>
          <w:tcPr>
            <w:tcW w:w="3575" w:type="dxa"/>
            <w:tcBorders/>
            <w:vAlign w:val="bottom"/>
          </w:tcPr>
          <w:p>
            <w:pPr>
              <w:pStyle w:val="TableContents"/>
              <w:bidi w:val="0"/>
              <w:spacing w:before="0" w:after="0"/>
              <w:ind w:left="180" w:right="0" w:hanging="0"/>
              <w:jc w:val="left"/>
              <w:rPr>
                <w:color w:val="000000"/>
              </w:rPr>
            </w:pPr>
            <w:r>
              <w:rPr>
                <w:color w:val="000000"/>
              </w:rPr>
              <w:t>U.S. treasury securities</w:t>
            </w:r>
          </w:p>
        </w:tc>
        <w:tc>
          <w:tcPr>
            <w:tcW w:w="60" w:type="dxa"/>
            <w:tcBorders/>
            <w:vAlign w:val="bottom"/>
          </w:tcPr>
          <w:p>
            <w:pPr>
              <w:pStyle w:val="TableContents"/>
              <w:bidi w:val="0"/>
              <w:spacing w:before="0" w:after="283"/>
              <w:jc w:val="left"/>
              <w:rPr/>
            </w:pPr>
            <w:r>
              <w:rPr/>
              <w:t> </w:t>
            </w:r>
          </w:p>
        </w:tc>
        <w:tc>
          <w:tcPr>
            <w:tcW w:w="163" w:type="dxa"/>
            <w:tcBorders>
              <w:bottom w:val="single" w:sz="12" w:space="0" w:color="000000"/>
            </w:tcBorders>
            <w:tcMar>
              <w:bottom w:w="28" w:type="dxa"/>
            </w:tcMar>
            <w:vAlign w:val="bottom"/>
          </w:tcPr>
          <w:p>
            <w:pPr>
              <w:pStyle w:val="TableContents"/>
              <w:bidi w:val="0"/>
              <w:spacing w:before="0" w:after="283"/>
              <w:jc w:val="left"/>
              <w:rPr/>
            </w:pPr>
            <w:r>
              <w:rPr/>
              <w:t> </w:t>
            </w:r>
          </w:p>
        </w:tc>
        <w:tc>
          <w:tcPr>
            <w:tcW w:w="93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29,631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bottom w:val="single" w:sz="12" w:space="0" w:color="000000"/>
            </w:tcBorders>
            <w:tcMar>
              <w:bottom w:w="28" w:type="dxa"/>
            </w:tcMar>
            <w:vAlign w:val="bottom"/>
          </w:tcPr>
          <w:p>
            <w:pPr>
              <w:pStyle w:val="TableContents"/>
              <w:bidi w:val="0"/>
              <w:spacing w:before="0" w:after="283"/>
              <w:jc w:val="left"/>
              <w:rPr/>
            </w:pPr>
            <w:r>
              <w:rPr/>
              <w:t> </w:t>
            </w:r>
          </w:p>
        </w:tc>
        <w:tc>
          <w:tcPr>
            <w:tcW w:w="73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9" w:type="dxa"/>
            <w:tcBorders>
              <w:bottom w:val="single" w:sz="12" w:space="0" w:color="000000"/>
            </w:tcBorders>
            <w:tcMar>
              <w:bottom w:w="28" w:type="dxa"/>
            </w:tcMar>
            <w:vAlign w:val="bottom"/>
          </w:tcPr>
          <w:p>
            <w:pPr>
              <w:pStyle w:val="TableContents"/>
              <w:bidi w:val="0"/>
              <w:spacing w:before="0" w:after="283"/>
              <w:jc w:val="left"/>
              <w:rPr/>
            </w:pPr>
            <w:r>
              <w:rPr/>
              <w:t> </w:t>
            </w:r>
          </w:p>
        </w:tc>
        <w:tc>
          <w:tcPr>
            <w:tcW w:w="96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29,638</w:t>
            </w:r>
          </w:p>
        </w:tc>
        <w:tc>
          <w:tcPr>
            <w:tcW w:w="75" w:type="dxa"/>
            <w:tcBorders/>
            <w:vAlign w:val="bottom"/>
          </w:tcPr>
          <w:p>
            <w:pPr>
              <w:pStyle w:val="TableContents"/>
              <w:bidi w:val="0"/>
              <w:spacing w:before="0" w:after="283"/>
              <w:jc w:val="left"/>
              <w:rPr/>
            </w:pPr>
            <w:r>
              <w:rPr/>
              <w:t> </w:t>
            </w:r>
          </w:p>
        </w:tc>
      </w:tr>
      <w:tr>
        <w:trPr/>
        <w:tc>
          <w:tcPr>
            <w:tcW w:w="3575" w:type="dxa"/>
            <w:tcBorders/>
            <w:shd w:fill="CCEEFF" w:val="clear"/>
            <w:vAlign w:val="bottom"/>
          </w:tcPr>
          <w:p>
            <w:pPr>
              <w:pStyle w:val="TableContents"/>
              <w:bidi w:val="0"/>
              <w:spacing w:before="0" w:after="0"/>
              <w:ind w:left="360" w:right="0" w:hanging="0"/>
              <w:jc w:val="left"/>
              <w:rPr>
                <w:color w:val="000000"/>
              </w:rPr>
            </w:pPr>
            <w:r>
              <w:rPr>
                <w:color w:val="000000"/>
              </w:rPr>
              <w:t>Total cash equivalents</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0"/>
              <w:jc w:val="right"/>
              <w:rPr>
                <w:color w:val="000000"/>
              </w:rPr>
            </w:pPr>
            <w:r>
              <w:rPr>
                <w:color w:val="000000"/>
              </w:rPr>
              <w:t>69,951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0"/>
              <w:jc w:val="right"/>
              <w:rPr>
                <w:color w:val="000000"/>
              </w:rPr>
            </w:pPr>
            <w:r>
              <w:rPr>
                <w:color w:val="000000"/>
              </w:rPr>
              <w:t>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9" w:type="dxa"/>
            <w:tcBorders/>
            <w:shd w:fill="CCEEFF" w:val="clear"/>
            <w:vAlign w:val="bottom"/>
          </w:tcPr>
          <w:p>
            <w:pPr>
              <w:pStyle w:val="TableContents"/>
              <w:bidi w:val="0"/>
              <w:spacing w:before="0" w:after="283"/>
              <w:jc w:val="left"/>
              <w:rPr/>
            </w:pPr>
            <w:r>
              <w:rPr/>
              <w:t> </w:t>
            </w:r>
          </w:p>
        </w:tc>
        <w:tc>
          <w:tcPr>
            <w:tcW w:w="1076"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0"/>
              <w:jc w:val="right"/>
              <w:rPr>
                <w:color w:val="000000"/>
              </w:rPr>
            </w:pPr>
            <w:r>
              <w:rPr>
                <w:color w:val="000000"/>
              </w:rPr>
              <w:t>69,958</w:t>
            </w:r>
          </w:p>
        </w:tc>
        <w:tc>
          <w:tcPr>
            <w:tcW w:w="75" w:type="dxa"/>
            <w:tcBorders/>
            <w:shd w:fill="CCEEFF" w:val="clear"/>
            <w:vAlign w:val="bottom"/>
          </w:tcPr>
          <w:p>
            <w:pPr>
              <w:pStyle w:val="TableContents"/>
              <w:bidi w:val="0"/>
              <w:spacing w:before="0" w:after="283"/>
              <w:jc w:val="left"/>
              <w:rPr/>
            </w:pPr>
            <w:r>
              <w:rPr/>
              <w:t> </w:t>
            </w:r>
          </w:p>
        </w:tc>
      </w:tr>
      <w:tr>
        <w:trPr/>
        <w:tc>
          <w:tcPr>
            <w:tcW w:w="3575" w:type="dxa"/>
            <w:tcBorders/>
            <w:vAlign w:val="bottom"/>
          </w:tcPr>
          <w:p>
            <w:pPr>
              <w:pStyle w:val="TableContents"/>
              <w:bidi w:val="0"/>
              <w:spacing w:before="0" w:after="0"/>
              <w:jc w:val="left"/>
              <w:rPr>
                <w:color w:val="000000"/>
              </w:rPr>
            </w:pPr>
            <w:r>
              <w:rPr>
                <w:color w:val="000000"/>
              </w:rPr>
              <w:t>Short-term marketable securities:</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left"/>
              <w:rPr/>
            </w:pPr>
            <w:r>
              <w:rPr/>
              <w:t> </w:t>
            </w:r>
          </w:p>
        </w:tc>
        <w:tc>
          <w:tcPr>
            <w:tcW w:w="107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3575" w:type="dxa"/>
            <w:tcBorders/>
            <w:shd w:fill="CCEEFF" w:val="clear"/>
            <w:vAlign w:val="bottom"/>
          </w:tcPr>
          <w:p>
            <w:pPr>
              <w:pStyle w:val="TableContents"/>
              <w:bidi w:val="0"/>
              <w:spacing w:before="0" w:after="0"/>
              <w:ind w:left="180" w:right="0" w:hanging="0"/>
              <w:jc w:val="left"/>
              <w:rPr>
                <w:color w:val="000000"/>
              </w:rPr>
            </w:pPr>
            <w:r>
              <w:rPr>
                <w:color w:val="000000"/>
              </w:rPr>
              <w:t>U.S. treasury securities</w:t>
            </w:r>
          </w:p>
        </w:tc>
        <w:tc>
          <w:tcPr>
            <w:tcW w:w="60" w:type="dxa"/>
            <w:tcBorders/>
            <w:shd w:fill="CCEEFF" w:val="clear"/>
            <w:vAlign w:val="bottom"/>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7"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138,029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3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7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6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138,106</w:t>
            </w:r>
          </w:p>
        </w:tc>
        <w:tc>
          <w:tcPr>
            <w:tcW w:w="75" w:type="dxa"/>
            <w:tcBorders/>
            <w:shd w:fill="CCEEFF" w:val="clear"/>
            <w:vAlign w:val="bottom"/>
          </w:tcPr>
          <w:p>
            <w:pPr>
              <w:pStyle w:val="TableContents"/>
              <w:bidi w:val="0"/>
              <w:spacing w:before="0" w:after="283"/>
              <w:jc w:val="left"/>
              <w:rPr/>
            </w:pPr>
            <w:r>
              <w:rPr/>
              <w:t> </w:t>
            </w:r>
          </w:p>
        </w:tc>
      </w:tr>
      <w:tr>
        <w:trPr/>
        <w:tc>
          <w:tcPr>
            <w:tcW w:w="3575" w:type="dxa"/>
            <w:tcBorders/>
            <w:vAlign w:val="bottom"/>
          </w:tcPr>
          <w:p>
            <w:pPr>
              <w:pStyle w:val="TableContents"/>
              <w:bidi w:val="0"/>
              <w:spacing w:before="0" w:after="0"/>
              <w:ind w:left="360" w:right="0" w:hanging="0"/>
              <w:jc w:val="left"/>
              <w:rPr>
                <w:color w:val="000000"/>
              </w:rPr>
            </w:pPr>
            <w:r>
              <w:rPr>
                <w:color w:val="000000"/>
              </w:rPr>
              <w:t>Total short-term marketable securities</w:t>
            </w:r>
          </w:p>
        </w:tc>
        <w:tc>
          <w:tcPr>
            <w:tcW w:w="60" w:type="dxa"/>
            <w:tcBorders/>
            <w:vAlign w:val="bottom"/>
          </w:tcPr>
          <w:p>
            <w:pPr>
              <w:pStyle w:val="TableContents"/>
              <w:bidi w:val="0"/>
              <w:spacing w:before="0" w:after="283"/>
              <w:jc w:val="left"/>
              <w:rPr/>
            </w:pPr>
            <w:r>
              <w:rPr/>
              <w:t> </w:t>
            </w:r>
          </w:p>
        </w:tc>
        <w:tc>
          <w:tcPr>
            <w:tcW w:w="163" w:type="dxa"/>
            <w:tcBorders>
              <w:bottom w:val="single" w:sz="12" w:space="0" w:color="000000"/>
            </w:tcBorders>
            <w:tcMar>
              <w:bottom w:w="28" w:type="dxa"/>
            </w:tcMar>
            <w:vAlign w:val="bottom"/>
          </w:tcPr>
          <w:p>
            <w:pPr>
              <w:pStyle w:val="TableContents"/>
              <w:bidi w:val="0"/>
              <w:spacing w:before="0" w:after="283"/>
              <w:jc w:val="left"/>
              <w:rPr/>
            </w:pPr>
            <w:r>
              <w:rPr/>
              <w:t> </w:t>
            </w:r>
          </w:p>
        </w:tc>
        <w:tc>
          <w:tcPr>
            <w:tcW w:w="93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138,029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5" w:type="dxa"/>
            <w:tcBorders>
              <w:bottom w:val="single" w:sz="12" w:space="0" w:color="000000"/>
            </w:tcBorders>
            <w:tcMar>
              <w:bottom w:w="28" w:type="dxa"/>
            </w:tcMar>
            <w:vAlign w:val="bottom"/>
          </w:tcPr>
          <w:p>
            <w:pPr>
              <w:pStyle w:val="TableContents"/>
              <w:bidi w:val="0"/>
              <w:spacing w:before="0" w:after="283"/>
              <w:jc w:val="left"/>
              <w:rPr/>
            </w:pPr>
            <w:r>
              <w:rPr/>
              <w:t> </w:t>
            </w:r>
          </w:p>
        </w:tc>
        <w:tc>
          <w:tcPr>
            <w:tcW w:w="73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9" w:type="dxa"/>
            <w:tcBorders>
              <w:bottom w:val="single" w:sz="12" w:space="0" w:color="000000"/>
            </w:tcBorders>
            <w:tcMar>
              <w:bottom w:w="28" w:type="dxa"/>
            </w:tcMar>
            <w:vAlign w:val="bottom"/>
          </w:tcPr>
          <w:p>
            <w:pPr>
              <w:pStyle w:val="TableContents"/>
              <w:bidi w:val="0"/>
              <w:spacing w:before="0" w:after="283"/>
              <w:jc w:val="left"/>
              <w:rPr/>
            </w:pPr>
            <w:r>
              <w:rPr/>
              <w:t> </w:t>
            </w:r>
          </w:p>
        </w:tc>
        <w:tc>
          <w:tcPr>
            <w:tcW w:w="96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138,106</w:t>
            </w:r>
          </w:p>
        </w:tc>
        <w:tc>
          <w:tcPr>
            <w:tcW w:w="75" w:type="dxa"/>
            <w:tcBorders/>
            <w:vAlign w:val="bottom"/>
          </w:tcPr>
          <w:p>
            <w:pPr>
              <w:pStyle w:val="TableContents"/>
              <w:bidi w:val="0"/>
              <w:spacing w:before="0" w:after="283"/>
              <w:jc w:val="left"/>
              <w:rPr/>
            </w:pPr>
            <w:r>
              <w:rPr/>
              <w:t> </w:t>
            </w:r>
          </w:p>
        </w:tc>
      </w:tr>
      <w:tr>
        <w:trPr/>
        <w:tc>
          <w:tcPr>
            <w:tcW w:w="3575" w:type="dxa"/>
            <w:tcBorders/>
            <w:shd w:fill="CCEEFF" w:val="clear"/>
            <w:vAlign w:val="bottom"/>
          </w:tcPr>
          <w:p>
            <w:pPr>
              <w:pStyle w:val="TableContents"/>
              <w:bidi w:val="0"/>
              <w:spacing w:before="0" w:after="0"/>
              <w:jc w:val="left"/>
              <w:rPr>
                <w:color w:val="000000"/>
              </w:rPr>
            </w:pPr>
            <w:r>
              <w:rPr>
                <w:color w:val="000000"/>
              </w:rPr>
              <w:t>Total assets measured at fair value</w:t>
            </w:r>
          </w:p>
        </w:tc>
        <w:tc>
          <w:tcPr>
            <w:tcW w:w="60" w:type="dxa"/>
            <w:tcBorders/>
            <w:shd w:fill="CCEEFF" w:val="clear"/>
            <w:vAlign w:val="bottom"/>
          </w:tcPr>
          <w:p>
            <w:pPr>
              <w:pStyle w:val="TableContents"/>
              <w:bidi w:val="0"/>
              <w:spacing w:before="0" w:after="283"/>
              <w:jc w:val="left"/>
              <w:rPr/>
            </w:pPr>
            <w:r>
              <w:rPr/>
              <w:t> </w:t>
            </w:r>
          </w:p>
        </w:tc>
        <w:tc>
          <w:tcPr>
            <w:tcW w:w="163"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37"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207,980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95"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3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9"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76"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66"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208,064</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As of June 30, 2026 and December 31, 2025, the Company has not realized any impairment charges on its marketable securities related to expected credit losses. As of June 30, 2026 and December 31, 2025, the aggregate difference between the amortized cost and fair value of each security in an unrealized loss position was deemed to be minimal. Since any provision for expected credit losses for a security is limited to the amount the fair value less than its amortized cost, no allowance for expected credit loss was deemed necessary as of June 30, 2026 and December 31, 2025. The Company does not intend to sell the investments and it is not more likely than not that the Company will be required to sell the investments before recovery of their amortized cost basis, which may be maturity. None of the available-for-sale securities held as of June 30, 2026 and December 31, 2025 have been in an unrealized loss position for more than one year. See Note 3 for further information regarding the fair value of the Company’s investments in marketable securities.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There were no long-term marketable securities as of June 30, 2026, and December 31, 2025.</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bookmarkStart w:id="73" w:name="Section13"/>
      <w:bookmarkEnd w:id="73"/>
      <w:r>
        <w:rPr>
          <w:rFonts w:ascii="Times New Roman" w:hAnsi="Times New Roman"/>
          <w:b/>
          <w:color w:val="000000"/>
          <w:sz w:val="20"/>
        </w:rPr>
        <w:t>Note 5—Taxes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Company had no current or deferred income tax expense or benefit during the three and six months ended June 30, 2026 and 2025. Deferred income taxes reflect the net tax effects of loss and credit carryforwards, as well as temporary differences between the carrying amounts of assets and liabilities for financial reporting and income tax purposes. The realization of these deferred tax assets is dependent upon future taxable income, the amount and timing of which are currently uncertain. All of the Company's deferred tax assets—which include net operating loss carryforwards, tax credits related primarily to research and development, capitalized research and development costs, and operating lease liabilities—continue to have a full valuation allowance as of June 30, 2026. The Company will maintain this full valuation allowance until there is sufficient evidence to support the recoverability of its deferred tax assets.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bookmarkStart w:id="74" w:name="Section14"/>
      <w:bookmarkEnd w:id="74"/>
      <w:r>
        <w:rPr>
          <w:rFonts w:ascii="Times New Roman" w:hAnsi="Times New Roman"/>
          <w:b/>
          <w:color w:val="000000"/>
          <w:sz w:val="20"/>
        </w:rPr>
        <w:t>Note 6—Revenue</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Exclusive License Agreement with Exact Sciences Corporation (“Exact Sciences”)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August 2025, the Company signed an exclusive collaboration and license agreement with Exact Sciences (the “Exact Sciences License Agreement”) to commercialize the Company’s blood-based screening test for colorectal cancer (“CRC”) in the United States (“U.S.”). The Exact Sciences License Agreement was deemed effective for accounting purposes upon receipt of approval from the relevant governmental authority on November 7, 2025 (the “Antitrust Clearance Date”). On March 23, 2026, Abbott Laboratories (“Abbott”) completed its acquisition of Exact Sciences, and Exact Sciences became a subsidiary of Abbott.</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Pursuant to the Exact Sciences License Agreement, the Company granted Exact Sciences (a) a non-exclusive, fully paid, royalty-free, sublicensable (subject to certain restrictions) license under certain of the Company’s intellectual property rights to develop in accordance with the development plan certain in vitro, blood-based products or services for diagnosis, screening or evaluation of CRC or colorectal pre-cancer (excluding certain multi-cancer tests) (each a “Collaboration Product”) for all uses and purposes, excluding the diagnosis, screening or evaluation of measurable residual disease (the “Field”), (b) a co-exclusive, royalty-bearing, sublicensable (subject to certain restrictions) license under certain of the Company’s intellectual property rights to commercialize Collaboration Products that are laboratory developed tests until the later of (i) the date of approval by the FDA of a premarket approval application for a class III medical device for CRC or colorectal pre-cancer that meets certain requirements for the first Collaboration Product and (ii) antitrust clearance, which occurred on November 7, 2025 and (c) upon approval by the FDA of a Collaboration Product, an exclusive, royalty bearing, sublicensable (subject to certain restrictions) license under certain of the Company’s intellectual property rights to commercialize Collaboration Products in the Field in the U.S. In addition, the Company granted Exact Sciences a non-exclusive, worldwide license to manufacture Collaboration Products for purposes of developing and commercializing Collaboration Products as expressly permitted above. Collaboration Products exclude certain future CRC products for which Exact Sciences is granted a certain right of first negotiation in the U.S.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Pursuant to the Exact Sciences License Agreement, the Company received a one-time, non-refundable, non-creditable, upfront payment of $75.0 million from Exact Sciences on November 3, 2025 as partial consideration for the rights and license granted. The Company is also eligible to receive up to $700.0 million in certain development and regulatory milestones; annual development payments of up to $20.0 million per year over three years for funding of R&amp;D development expenses leveraging the technology for those three years; and tiered royalties ranging from low to high double-digit percentages on U.S. sales of any commercial products that may result from the collaboration, subject to customary deductions under certain circumstances.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Exact Sciences License Agreement is subject to termination by either party for the other party’s uncured material breach or its insolvency. Subject to certain limitations, the Company and Exact Sciences both have certain termination for convenience rights, exercisable upon sufficient prior written notice. Specifically, the Company's right to terminate for convenience may be exercised if Exact Sciences ceases commercialization activities for all Collaboration Products; or if there is a patent challenge with respect to the Company’s patent rights in the U.S.; or if Exact Sciences’ licensees commercially launch, as a standalone product, the in vitro, blood-based product for the diagnosis, screening or evaluation of colorectal cancer in the U.S. that Exact Sciences is developing. Exact Sciences may terminate the agreement in its entirety, upon prior written notice to the Company, upon earlier of not meeting 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certain development milestone event or by January 1, 2028.</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Exact Sciences also has a right to terminate the collaborative activities under the Exact Sciences License Agreement at certain specified points during the collaboration term. Other customary termination rights are further provided in the Exact Sciences License Agreement.</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Company concluded at the commencement of the arrangement that Exact Sciences was a customer and the Exact Sciences License Agreement should be accounted for under ASC 606. Performance obligations identified under the Exact Sciences License Agreement includes the delivery of intellectual property and licenses related to development, co-exclusive commercialization, manufacturing, and data; research and development services; the delivery of the exclusive commercialization license; technology transfers; and a material right granted to the customer for certain laboratory tests that will be billed at cost by the Company.</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promises related to the development license, co-exclusive commercialization license, manufacturing license, and data license were considered functional intellectual property and determined to be distinct from the remaining promises in the Exact Sciences License Agreement. These licenses were delivered at the same time, therefore, they are considered one performance obligation at contract inception.</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Company determined the transaction price under ASC 606 at the inception of the Exact Sciences License Agreement to be $143.4 million, consisting of the $75.0 million up front payment, $60.0 million reimbursement for development costs, and $8.4 million allocated to the Exact Sciences License Agreement from the proceeds received in the Exact Sciences Convertible Note (see Note 8). The reimbursement for development costs includes $20.0 million of variable consideration per year, that is expected to be paid by Exact over a three year period from the effective date of the contract.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Exact Sciences License Agreement includes $700.0 million milestone payments, of which $100.0 million is payable upon FDA approval of the Company’s initial version of a Collaboration Product, $100.0 million is payable upon first-line FDA approval for the next-generation test contingent on meeting predefined performance benchmarks, and $500.0 million is payable upon a Collaboration Product being rated as a first-line A or B test in the USPSTF guidelines or meeting certain payer contracted coverage requirements. If the predefined performance benchmarks are not achieved, or if the Collaboration Product is rated as a second-line A or B test in the USPSTF guidelines, then each respective milestone payment may be reduced as provided in the Agreement. The Company determined that these development and regulatory events are not within the Company’s control or the licensee’s control and are not considered probable of being achieved until those approvals are received. Accordingly, the Company has fully constrained the milestone payments. The Exact Sciences License Agreement also includes sales-based royalty payments, determined on a level of sales for which the license is deemed to be the predominant item to which the royalties relate. The Company will recognize revenue for these payments at the later of (i) when the related sales occur, or (ii) when the performance obligation to which some or all of the royalty has been allocated has been satisfied or partially satisfied.</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Company allocated the transaction price at inception to each performance obligation based on a relative standalone selling price (“SSP”) basis. The SSP of the exclusive commercialization license was determined using an income approach, considering the discounted cash flows related to the license. SSPs for each of the data license, development license, and manufacturing license were determined using a replacement cost approach. The SSPs of the technology transfers and research &amp; development services were determined utilizing the cost-plus margin approach, considering the cost for services and an assumed margin that a market participant would pay to obtain the services. The SSP of the material right related to the laboratory tests was also determined utilizing the cost-plus margin approach, based on the expected reimbursed cost of the laboratory tests and an assumed margin that a market participant would charge to perform the laboratory tests.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Company recognizes the revenue for the intellectual property, exclusive commercialization license and, the technology transfers at a point in time when the performance obligations are satisfied. Revenue related to the research and development services is recognized over time using a cost input method as services are performed while the revenue associated with the material right will be recognized over time using an output method as the laboratory tests are performed, which the Company believes best depicts the transfer of control to the customer.</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following table summarizes the changes in deferred revenue (in millions):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75" w:name="z00347a9f15174aa0b62b8fe0c8327170"/>
      <w:bookmarkStart w:id="76" w:name="z00347a9f15174aa0b62b8fe0c8327170"/>
      <w:bookmarkEnd w:id="76"/>
    </w:p>
    <w:tbl>
      <w:tblPr>
        <w:tblW w:w="7700" w:type="dxa"/>
        <w:jc w:val="left"/>
        <w:tblInd w:w="0" w:type="dxa"/>
        <w:tblLayout w:type="fixed"/>
        <w:tblCellMar>
          <w:top w:w="0" w:type="dxa"/>
          <w:left w:w="0" w:type="dxa"/>
          <w:bottom w:w="0" w:type="dxa"/>
          <w:right w:w="0" w:type="dxa"/>
        </w:tblCellMar>
      </w:tblPr>
      <w:tblGrid>
        <w:gridCol w:w="6965"/>
        <w:gridCol w:w="60"/>
        <w:gridCol w:w="140"/>
        <w:gridCol w:w="440"/>
        <w:gridCol w:w="95"/>
      </w:tblGrid>
      <w:tr>
        <w:trPr/>
        <w:tc>
          <w:tcPr>
            <w:tcW w:w="6965" w:type="dxa"/>
            <w:tcBorders/>
            <w:shd w:fill="CCEEFF" w:val="clear"/>
            <w:vAlign w:val="bottom"/>
          </w:tcPr>
          <w:p>
            <w:pPr>
              <w:pStyle w:val="TableContents"/>
              <w:bidi w:val="0"/>
              <w:spacing w:before="0" w:after="0"/>
              <w:jc w:val="left"/>
              <w:rPr>
                <w:b/>
                <w:color w:val="000000"/>
              </w:rPr>
            </w:pPr>
            <w:r>
              <w:rPr>
                <w:b/>
                <w:color w:val="000000"/>
              </w:rPr>
              <w:t>Balance at December 31, 2025</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440" w:type="dxa"/>
            <w:tcBorders/>
            <w:shd w:fill="CCEEFF" w:val="clear"/>
            <w:vAlign w:val="bottom"/>
          </w:tcPr>
          <w:p>
            <w:pPr>
              <w:pStyle w:val="TableContents"/>
              <w:bidi w:val="0"/>
              <w:spacing w:before="0" w:after="0"/>
              <w:jc w:val="right"/>
              <w:rPr>
                <w:color w:val="000000"/>
              </w:rPr>
            </w:pPr>
            <w:r>
              <w:rPr>
                <w:color w:val="000000"/>
              </w:rPr>
              <w:t>56.3</w:t>
            </w:r>
          </w:p>
        </w:tc>
        <w:tc>
          <w:tcPr>
            <w:tcW w:w="95" w:type="dxa"/>
            <w:tcBorders/>
            <w:shd w:fill="CCEEFF" w:val="clear"/>
            <w:vAlign w:val="bottom"/>
          </w:tcPr>
          <w:p>
            <w:pPr>
              <w:pStyle w:val="TableContents"/>
              <w:bidi w:val="0"/>
              <w:spacing w:before="0" w:after="283"/>
              <w:jc w:val="left"/>
              <w:rPr/>
            </w:pPr>
            <w:r>
              <w:rPr/>
              <w:t> </w:t>
            </w:r>
          </w:p>
        </w:tc>
      </w:tr>
      <w:tr>
        <w:trPr/>
        <w:tc>
          <w:tcPr>
            <w:tcW w:w="6965" w:type="dxa"/>
            <w:tcBorders/>
            <w:vAlign w:val="bottom"/>
          </w:tcPr>
          <w:p>
            <w:pPr>
              <w:pStyle w:val="TableContents"/>
              <w:bidi w:val="0"/>
              <w:spacing w:before="0" w:after="0"/>
              <w:jc w:val="left"/>
              <w:rPr>
                <w:color w:val="000000"/>
              </w:rPr>
            </w:pPr>
            <w:r>
              <w:rPr>
                <w:color w:val="000000"/>
              </w:rPr>
              <w:t>Additions to deferred revenue during the six months ended June 30, 2026</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0"/>
              <w:jc w:val="right"/>
              <w:rPr>
                <w:color w:val="000000"/>
              </w:rPr>
            </w:pPr>
            <w:r>
              <w:rPr>
                <w:color w:val="000000"/>
              </w:rPr>
              <w:t>20.0</w:t>
            </w:r>
          </w:p>
        </w:tc>
        <w:tc>
          <w:tcPr>
            <w:tcW w:w="95" w:type="dxa"/>
            <w:tcBorders/>
            <w:vAlign w:val="bottom"/>
          </w:tcPr>
          <w:p>
            <w:pPr>
              <w:pStyle w:val="TableContents"/>
              <w:bidi w:val="0"/>
              <w:spacing w:before="0" w:after="283"/>
              <w:jc w:val="left"/>
              <w:rPr/>
            </w:pPr>
            <w:r>
              <w:rPr/>
              <w:t> </w:t>
            </w:r>
          </w:p>
        </w:tc>
      </w:tr>
      <w:tr>
        <w:trPr/>
        <w:tc>
          <w:tcPr>
            <w:tcW w:w="6965" w:type="dxa"/>
            <w:tcBorders/>
            <w:shd w:fill="CCEEFF" w:val="clear"/>
            <w:vAlign w:val="bottom"/>
          </w:tcPr>
          <w:p>
            <w:pPr>
              <w:pStyle w:val="TableContents"/>
              <w:bidi w:val="0"/>
              <w:spacing w:before="0" w:after="0"/>
              <w:jc w:val="left"/>
              <w:rPr>
                <w:color w:val="000000"/>
              </w:rPr>
            </w:pPr>
            <w:r>
              <w:rPr>
                <w:color w:val="000000"/>
              </w:rPr>
              <w:t>Recognized in revenue during the six months ended June 30, 2026</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4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(5.2</w:t>
            </w:r>
          </w:p>
        </w:tc>
        <w:tc>
          <w:tcPr>
            <w:tcW w:w="95" w:type="dxa"/>
            <w:tcBorders/>
            <w:shd w:fill="CCEEFF" w:val="clear"/>
            <w:vAlign w:val="bottom"/>
          </w:tcPr>
          <w:p>
            <w:pPr>
              <w:pStyle w:val="TableContents"/>
              <w:bidi w:val="0"/>
              <w:spacing w:before="0" w:after="0"/>
              <w:jc w:val="left"/>
              <w:rPr>
                <w:color w:val="000000"/>
              </w:rPr>
            </w:pPr>
            <w:r>
              <w:rPr>
                <w:color w:val="000000"/>
              </w:rPr>
              <w:t>)</w:t>
            </w:r>
          </w:p>
        </w:tc>
      </w:tr>
      <w:tr>
        <w:trPr/>
        <w:tc>
          <w:tcPr>
            <w:tcW w:w="6965" w:type="dxa"/>
            <w:tcBorders/>
            <w:vAlign w:val="bottom"/>
          </w:tcPr>
          <w:p>
            <w:pPr>
              <w:pStyle w:val="TableContents"/>
              <w:bidi w:val="0"/>
              <w:spacing w:lineRule="auto" w:line="240" w:before="0" w:after="0"/>
              <w:jc w:val="left"/>
              <w:rPr>
                <w:b/>
                <w:color w:val="000000"/>
              </w:rPr>
            </w:pPr>
            <w:r>
              <w:rPr>
                <w:b/>
                <w:color w:val="000000"/>
              </w:rPr>
              <w:t>Balance at June 30, 2026 (1)</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44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71.1</w:t>
            </w:r>
          </w:p>
        </w:tc>
        <w:tc>
          <w:tcPr>
            <w:tcW w:w="9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lineRule="auto" w:line="240" w:before="0" w:after="0"/>
        <w:jc w:val="left"/>
        <w:rPr>
          <w:rFonts w:ascii="Times New Roman" w:hAnsi="Times New Roman"/>
          <w:color w:val="000000"/>
          <w:sz w:val="20"/>
        </w:rPr>
      </w:pPr>
      <w:r>
        <w:rPr>
          <w:rFonts w:ascii="Times New Roman" w:hAnsi="Times New Roman"/>
          <w:color w:val="000000"/>
          <w:sz w:val="20"/>
        </w:rPr>
        <w:t>(1) During the three and six months ended June 30, 2026, the Company recognized $1.5 million and  $5.2 million revenue, respectively, related to the research and development services provided during the period. A related contract asset and deferred revenue were also recorded, as the contractual right to payment for collaboration services under the Exact Sciences License Agreement has not yet been raised. In accordance with ASC 606, contract assets and liabilities associated within an agreement are considered interdependent and are presented net on the condensed balance sheets. Accordingly, the related contract asset was netted against deferred revenue balance as of June 30, 2026.</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As of June 30, 2026, the aggregate transaction price allocated to unsatisfied performance obligations was $111.1 million, which consists of deferred revenue of $71.1 million and variable consideration for the reimbursement of developmental services of $40.0 million, and is expected to be recognized upon transfer of control of the underlying promised goods or services to Exact Sciences as follows: $92.8 million is expected to be recognized upon transfer of the exclusive commercialization license, $0.4 million is expected to be recognized upon satisfaction of the technology transfers, $14.3 million is expected to be recognized as the research and development services are performed and $3.6 million is expected to be recognized for the material right as the laboratory tests are performed.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15</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Service and Other Revenue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Company derives revenue from the sale and distribution of tests and services through its U.K.-based subsidiary, Freenome Ltd. Revenue is recognized at a point in time as the Company satisfies its performance obligations by transferring the goods and services to its customers.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following table summarizes the revenue by type (in millions):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77" w:name="z897bc7c587f04ef3bf5abba0665c50dd"/>
      <w:bookmarkStart w:id="78" w:name="z897bc7c587f04ef3bf5abba0665c50dd"/>
      <w:bookmarkEnd w:id="78"/>
    </w:p>
    <w:tbl>
      <w:tblPr>
        <w:tblW w:w="8754" w:type="dxa"/>
        <w:jc w:val="left"/>
        <w:tblInd w:w="0" w:type="dxa"/>
        <w:tblLayout w:type="fixed"/>
        <w:tblCellMar>
          <w:top w:w="0" w:type="dxa"/>
          <w:left w:w="0" w:type="dxa"/>
          <w:bottom w:w="0" w:type="dxa"/>
          <w:right w:w="0" w:type="dxa"/>
        </w:tblCellMar>
      </w:tblPr>
      <w:tblGrid>
        <w:gridCol w:w="2570"/>
        <w:gridCol w:w="60"/>
        <w:gridCol w:w="420"/>
        <w:gridCol w:w="961"/>
        <w:gridCol w:w="180"/>
        <w:gridCol w:w="180"/>
        <w:gridCol w:w="420"/>
        <w:gridCol w:w="961"/>
        <w:gridCol w:w="60"/>
        <w:gridCol w:w="60"/>
        <w:gridCol w:w="380"/>
        <w:gridCol w:w="869"/>
        <w:gridCol w:w="162"/>
        <w:gridCol w:w="162"/>
        <w:gridCol w:w="380"/>
        <w:gridCol w:w="869"/>
        <w:gridCol w:w="60"/>
      </w:tblGrid>
      <w:tr>
        <w:trPr/>
        <w:tc>
          <w:tcPr>
            <w:tcW w:w="25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22"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Months Ended June 30,</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2822"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Six Months Ended June 30,</w:t>
            </w:r>
          </w:p>
        </w:tc>
        <w:tc>
          <w:tcPr>
            <w:tcW w:w="60" w:type="dxa"/>
            <w:tcBorders/>
            <w:vAlign w:val="bottom"/>
          </w:tcPr>
          <w:p>
            <w:pPr>
              <w:pStyle w:val="TableContents"/>
              <w:bidi w:val="0"/>
              <w:spacing w:before="0" w:after="283"/>
              <w:jc w:val="left"/>
              <w:rPr/>
            </w:pPr>
            <w:r>
              <w:rPr/>
              <w:t> </w:t>
            </w:r>
          </w:p>
        </w:tc>
      </w:tr>
      <w:tr>
        <w:trPr/>
        <w:tc>
          <w:tcPr>
            <w:tcW w:w="2570" w:type="dxa"/>
            <w:tcBorders/>
            <w:vAlign w:val="bottom"/>
          </w:tcPr>
          <w:p>
            <w:pPr>
              <w:pStyle w:val="TableContents"/>
              <w:bidi w:val="0"/>
              <w:spacing w:before="0" w:after="0"/>
              <w:jc w:val="left"/>
              <w:rPr>
                <w:b/>
                <w:color w:val="000000"/>
              </w:rPr>
            </w:pPr>
            <w:r>
              <w:rPr>
                <w:b/>
                <w:color w:val="000000"/>
              </w:rPr>
              <w:t>Revenue type</w:t>
            </w:r>
          </w:p>
        </w:tc>
        <w:tc>
          <w:tcPr>
            <w:tcW w:w="60" w:type="dxa"/>
            <w:tcBorders/>
            <w:vAlign w:val="bottom"/>
          </w:tcPr>
          <w:p>
            <w:pPr>
              <w:pStyle w:val="TableContents"/>
              <w:bidi w:val="0"/>
              <w:spacing w:before="0" w:after="283"/>
              <w:jc w:val="left"/>
              <w:rPr/>
            </w:pPr>
            <w:r>
              <w:rPr/>
              <w:t> </w:t>
            </w:r>
          </w:p>
        </w:tc>
        <w:tc>
          <w:tcPr>
            <w:tcW w:w="1381"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18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381"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16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60" w:type="dxa"/>
            <w:tcBorders/>
            <w:vAlign w:val="bottom"/>
          </w:tcPr>
          <w:p>
            <w:pPr>
              <w:pStyle w:val="TableContents"/>
              <w:bidi w:val="0"/>
              <w:spacing w:before="0" w:after="283"/>
              <w:jc w:val="left"/>
              <w:rPr/>
            </w:pPr>
            <w:r>
              <w:rPr/>
              <w:t> </w:t>
            </w:r>
          </w:p>
        </w:tc>
      </w:tr>
      <w:tr>
        <w:trPr/>
        <w:tc>
          <w:tcPr>
            <w:tcW w:w="25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81" w:type="dxa"/>
            <w:gridSpan w:val="2"/>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381"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9" w:type="dxa"/>
            <w:gridSpan w:val="2"/>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24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2570" w:type="dxa"/>
            <w:tcBorders/>
            <w:shd w:fill="CCEEFF" w:val="clear"/>
            <w:vAlign w:val="bottom"/>
          </w:tcPr>
          <w:p>
            <w:pPr>
              <w:pStyle w:val="TableContents"/>
              <w:bidi w:val="0"/>
              <w:spacing w:before="0" w:after="0"/>
              <w:ind w:left="180" w:right="0" w:hanging="0"/>
              <w:jc w:val="left"/>
              <w:rPr>
                <w:color w:val="000000"/>
              </w:rPr>
            </w:pPr>
            <w:r>
              <w:rPr>
                <w:color w:val="000000"/>
              </w:rPr>
              <w:t>EarlyCDT Lung royalties</w:t>
            </w:r>
          </w:p>
        </w:tc>
        <w:tc>
          <w:tcPr>
            <w:tcW w:w="60" w:type="dxa"/>
            <w:tcBorders/>
            <w:shd w:fill="CCEEFF" w:val="clear"/>
            <w:vAlign w:val="bottom"/>
          </w:tcPr>
          <w:p>
            <w:pPr>
              <w:pStyle w:val="TableContents"/>
              <w:bidi w:val="0"/>
              <w:spacing w:before="0" w:after="283"/>
              <w:jc w:val="right"/>
              <w:rPr/>
            </w:pPr>
            <w:r>
              <w:rPr/>
              <w:t> </w:t>
            </w:r>
          </w:p>
        </w:tc>
        <w:tc>
          <w:tcPr>
            <w:tcW w:w="420" w:type="dxa"/>
            <w:tcBorders/>
            <w:shd w:fill="CCEEFF" w:val="clear"/>
            <w:vAlign w:val="bottom"/>
          </w:tcPr>
          <w:p>
            <w:pPr>
              <w:pStyle w:val="TableContents"/>
              <w:bidi w:val="0"/>
              <w:spacing w:before="0" w:after="0"/>
              <w:jc w:val="left"/>
              <w:rPr>
                <w:color w:val="000000"/>
              </w:rPr>
            </w:pPr>
            <w:r>
              <w:rPr>
                <w:color w:val="000000"/>
              </w:rPr>
              <w:t>$</w:t>
            </w:r>
          </w:p>
        </w:tc>
        <w:tc>
          <w:tcPr>
            <w:tcW w:w="961" w:type="dxa"/>
            <w:tcBorders/>
            <w:shd w:fill="CCEEFF" w:val="clear"/>
            <w:vAlign w:val="bottom"/>
          </w:tcPr>
          <w:p>
            <w:pPr>
              <w:pStyle w:val="TableContents"/>
              <w:bidi w:val="0"/>
              <w:spacing w:before="0" w:after="0"/>
              <w:jc w:val="right"/>
              <w:rPr>
                <w:color w:val="000000"/>
              </w:rPr>
            </w:pPr>
            <w:r>
              <w:rPr>
                <w:color w:val="000000"/>
              </w:rPr>
              <w:t>0.4</w:t>
            </w:r>
          </w:p>
        </w:tc>
        <w:tc>
          <w:tcPr>
            <w:tcW w:w="18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right"/>
              <w:rPr/>
            </w:pPr>
            <w:r>
              <w:rPr/>
              <w:t> </w:t>
            </w:r>
          </w:p>
        </w:tc>
        <w:tc>
          <w:tcPr>
            <w:tcW w:w="420" w:type="dxa"/>
            <w:tcBorders/>
            <w:shd w:fill="CCEEFF" w:val="clear"/>
            <w:vAlign w:val="bottom"/>
          </w:tcPr>
          <w:p>
            <w:pPr>
              <w:pStyle w:val="TableContents"/>
              <w:bidi w:val="0"/>
              <w:spacing w:before="0" w:after="0"/>
              <w:jc w:val="left"/>
              <w:rPr>
                <w:color w:val="000000"/>
              </w:rPr>
            </w:pPr>
            <w:r>
              <w:rPr>
                <w:color w:val="000000"/>
              </w:rPr>
              <w:t>$</w:t>
            </w:r>
          </w:p>
        </w:tc>
        <w:tc>
          <w:tcPr>
            <w:tcW w:w="961" w:type="dxa"/>
            <w:tcBorders/>
            <w:shd w:fill="CCEEFF" w:val="clear"/>
            <w:vAlign w:val="bottom"/>
          </w:tcPr>
          <w:p>
            <w:pPr>
              <w:pStyle w:val="TableContents"/>
              <w:bidi w:val="0"/>
              <w:spacing w:before="0" w:after="0"/>
              <w:jc w:val="right"/>
              <w:rPr>
                <w:color w:val="000000"/>
              </w:rPr>
            </w:pPr>
            <w:r>
              <w:rPr>
                <w:color w:val="000000"/>
              </w:rPr>
              <w:t>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80" w:type="dxa"/>
            <w:tcBorders/>
            <w:shd w:fill="CCEEFF" w:val="clear"/>
            <w:vAlign w:val="bottom"/>
          </w:tcPr>
          <w:p>
            <w:pPr>
              <w:pStyle w:val="TableContents"/>
              <w:bidi w:val="0"/>
              <w:spacing w:before="0" w:after="0"/>
              <w:jc w:val="left"/>
              <w:rPr>
                <w:color w:val="000000"/>
              </w:rPr>
            </w:pPr>
            <w:r>
              <w:rPr>
                <w:color w:val="000000"/>
              </w:rPr>
              <w:t>$</w:t>
            </w:r>
          </w:p>
        </w:tc>
        <w:tc>
          <w:tcPr>
            <w:tcW w:w="869" w:type="dxa"/>
            <w:tcBorders/>
            <w:shd w:fill="CCEEFF" w:val="clear"/>
            <w:vAlign w:val="bottom"/>
          </w:tcPr>
          <w:p>
            <w:pPr>
              <w:pStyle w:val="TableContents"/>
              <w:bidi w:val="0"/>
              <w:spacing w:before="0" w:after="0"/>
              <w:jc w:val="right"/>
              <w:rPr>
                <w:color w:val="000000"/>
              </w:rPr>
            </w:pPr>
            <w:r>
              <w:rPr>
                <w:color w:val="000000"/>
              </w:rPr>
              <w:t>0.8</w:t>
            </w:r>
          </w:p>
        </w:tc>
        <w:tc>
          <w:tcPr>
            <w:tcW w:w="16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right"/>
              <w:rPr/>
            </w:pPr>
            <w:r>
              <w:rPr/>
              <w:t> </w:t>
            </w:r>
          </w:p>
        </w:tc>
        <w:tc>
          <w:tcPr>
            <w:tcW w:w="380" w:type="dxa"/>
            <w:tcBorders/>
            <w:shd w:fill="CCEEFF" w:val="clear"/>
            <w:vAlign w:val="bottom"/>
          </w:tcPr>
          <w:p>
            <w:pPr>
              <w:pStyle w:val="TableContents"/>
              <w:bidi w:val="0"/>
              <w:spacing w:before="0" w:after="0"/>
              <w:jc w:val="left"/>
              <w:rPr>
                <w:color w:val="000000"/>
              </w:rPr>
            </w:pPr>
            <w:r>
              <w:rPr>
                <w:color w:val="000000"/>
              </w:rPr>
              <w:t>$</w:t>
            </w:r>
          </w:p>
        </w:tc>
        <w:tc>
          <w:tcPr>
            <w:tcW w:w="869" w:type="dxa"/>
            <w:tcBorders/>
            <w:shd w:fill="CCEEFF" w:val="clear"/>
            <w:vAlign w:val="bottom"/>
          </w:tcPr>
          <w:p>
            <w:pPr>
              <w:pStyle w:val="TableContents"/>
              <w:bidi w:val="0"/>
              <w:spacing w:before="0" w:after="0"/>
              <w:jc w:val="right"/>
              <w:rPr>
                <w:color w:val="000000"/>
              </w:rPr>
            </w:pPr>
            <w:r>
              <w:rPr>
                <w:color w:val="000000"/>
              </w:rPr>
              <w:t>0.5</w:t>
            </w:r>
          </w:p>
        </w:tc>
        <w:tc>
          <w:tcPr>
            <w:tcW w:w="60" w:type="dxa"/>
            <w:tcBorders/>
            <w:shd w:fill="CCEEFF" w:val="clear"/>
            <w:vAlign w:val="bottom"/>
          </w:tcPr>
          <w:p>
            <w:pPr>
              <w:pStyle w:val="TableContents"/>
              <w:bidi w:val="0"/>
              <w:spacing w:before="0" w:after="283"/>
              <w:jc w:val="left"/>
              <w:rPr/>
            </w:pPr>
            <w:r>
              <w:rPr/>
              <w:t> </w:t>
            </w:r>
          </w:p>
        </w:tc>
      </w:tr>
      <w:tr>
        <w:trPr/>
        <w:tc>
          <w:tcPr>
            <w:tcW w:w="2570" w:type="dxa"/>
            <w:tcBorders/>
            <w:vAlign w:val="bottom"/>
          </w:tcPr>
          <w:p>
            <w:pPr>
              <w:pStyle w:val="TableContents"/>
              <w:bidi w:val="0"/>
              <w:spacing w:before="0" w:after="0"/>
              <w:ind w:left="180" w:right="0" w:hanging="0"/>
              <w:jc w:val="left"/>
              <w:rPr>
                <w:color w:val="000000"/>
              </w:rPr>
            </w:pPr>
            <w:r>
              <w:rPr>
                <w:color w:val="000000"/>
              </w:rPr>
              <w:t>EarlyCDT Lung test kits</w:t>
            </w:r>
          </w:p>
        </w:tc>
        <w:tc>
          <w:tcPr>
            <w:tcW w:w="60" w:type="dxa"/>
            <w:tcBorders/>
            <w:vAlign w:val="bottom"/>
          </w:tcPr>
          <w:p>
            <w:pPr>
              <w:pStyle w:val="TableContents"/>
              <w:bidi w:val="0"/>
              <w:spacing w:before="0" w:after="283"/>
              <w:jc w:val="right"/>
              <w:rPr/>
            </w:pPr>
            <w:r>
              <w:rPr/>
              <w:t> </w:t>
            </w:r>
          </w:p>
        </w:tc>
        <w:tc>
          <w:tcPr>
            <w:tcW w:w="420"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0"/>
              <w:jc w:val="right"/>
              <w:rPr>
                <w:color w:val="000000"/>
              </w:rPr>
            </w:pPr>
            <w:r>
              <w:rPr>
                <w:color w:val="000000"/>
              </w:rPr>
              <w:t>0.3</w:t>
            </w:r>
          </w:p>
        </w:tc>
        <w:tc>
          <w:tcPr>
            <w:tcW w:w="18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right"/>
              <w:rPr/>
            </w:pPr>
            <w:r>
              <w:rPr/>
              <w:t> </w:t>
            </w:r>
          </w:p>
        </w:tc>
        <w:tc>
          <w:tcPr>
            <w:tcW w:w="420"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0"/>
              <w:jc w:val="right"/>
              <w:rPr>
                <w:color w:val="000000"/>
              </w:rPr>
            </w:pPr>
            <w:r>
              <w:rPr>
                <w:color w:val="000000"/>
              </w:rPr>
              <w:t>0.7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8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0"/>
              <w:jc w:val="right"/>
              <w:rPr>
                <w:color w:val="000000"/>
              </w:rPr>
            </w:pPr>
            <w:r>
              <w:rPr>
                <w:color w:val="000000"/>
              </w:rPr>
              <w:t>0.4</w:t>
            </w:r>
          </w:p>
        </w:tc>
        <w:tc>
          <w:tcPr>
            <w:tcW w:w="16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right"/>
              <w:rPr/>
            </w:pPr>
            <w:r>
              <w:rPr/>
              <w:t> </w:t>
            </w:r>
          </w:p>
        </w:tc>
        <w:tc>
          <w:tcPr>
            <w:tcW w:w="380" w:type="dxa"/>
            <w:tcBorders/>
            <w:vAlign w:val="bottom"/>
          </w:tcPr>
          <w:p>
            <w:pPr>
              <w:pStyle w:val="TableContents"/>
              <w:bidi w:val="0"/>
              <w:spacing w:before="0" w:after="283"/>
              <w:jc w:val="left"/>
              <w:rPr/>
            </w:pPr>
            <w:r>
              <w:rPr/>
              <w:t> </w:t>
            </w:r>
          </w:p>
        </w:tc>
        <w:tc>
          <w:tcPr>
            <w:tcW w:w="869" w:type="dxa"/>
            <w:tcBorders/>
            <w:vAlign w:val="bottom"/>
          </w:tcPr>
          <w:p>
            <w:pPr>
              <w:pStyle w:val="TableContents"/>
              <w:bidi w:val="0"/>
              <w:spacing w:before="0" w:after="0"/>
              <w:jc w:val="right"/>
              <w:rPr>
                <w:color w:val="000000"/>
              </w:rPr>
            </w:pPr>
            <w:r>
              <w:rPr>
                <w:color w:val="000000"/>
              </w:rPr>
              <w:t>0.8</w:t>
            </w:r>
          </w:p>
        </w:tc>
        <w:tc>
          <w:tcPr>
            <w:tcW w:w="60" w:type="dxa"/>
            <w:tcBorders/>
            <w:vAlign w:val="bottom"/>
          </w:tcPr>
          <w:p>
            <w:pPr>
              <w:pStyle w:val="TableContents"/>
              <w:bidi w:val="0"/>
              <w:spacing w:before="0" w:after="283"/>
              <w:jc w:val="left"/>
              <w:rPr/>
            </w:pPr>
            <w:r>
              <w:rPr/>
              <w:t> </w:t>
            </w:r>
          </w:p>
        </w:tc>
      </w:tr>
      <w:tr>
        <w:trPr/>
        <w:tc>
          <w:tcPr>
            <w:tcW w:w="2570" w:type="dxa"/>
            <w:tcBorders/>
            <w:shd w:fill="CCEEFF" w:val="clear"/>
            <w:vAlign w:val="bottom"/>
          </w:tcPr>
          <w:p>
            <w:pPr>
              <w:pStyle w:val="TableContents"/>
              <w:bidi w:val="0"/>
              <w:spacing w:before="0" w:after="0"/>
              <w:ind w:left="180" w:right="0" w:hanging="0"/>
              <w:jc w:val="left"/>
              <w:rPr>
                <w:color w:val="000000"/>
              </w:rPr>
            </w:pPr>
            <w:r>
              <w:rPr>
                <w:color w:val="000000"/>
              </w:rPr>
              <w:t>EarlyCDT Lung test plates</w:t>
            </w:r>
          </w:p>
        </w:tc>
        <w:tc>
          <w:tcPr>
            <w:tcW w:w="60" w:type="dxa"/>
            <w:tcBorders/>
            <w:shd w:fill="CCEEFF" w:val="clear"/>
            <w:vAlign w:val="bottom"/>
          </w:tcPr>
          <w:p>
            <w:pPr>
              <w:pStyle w:val="TableContents"/>
              <w:bidi w:val="0"/>
              <w:spacing w:before="0" w:after="283"/>
              <w:jc w:val="right"/>
              <w:rPr/>
            </w:pPr>
            <w:r>
              <w:rPr/>
              <w:t> </w:t>
            </w:r>
          </w:p>
        </w:tc>
        <w:tc>
          <w:tcPr>
            <w:tcW w:w="42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6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0.1</w:t>
            </w:r>
          </w:p>
        </w:tc>
        <w:tc>
          <w:tcPr>
            <w:tcW w:w="18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right"/>
              <w:rPr/>
            </w:pPr>
            <w:r>
              <w:rPr/>
              <w:t> </w:t>
            </w:r>
          </w:p>
        </w:tc>
        <w:tc>
          <w:tcPr>
            <w:tcW w:w="42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6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8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0.2</w:t>
            </w:r>
          </w:p>
        </w:tc>
        <w:tc>
          <w:tcPr>
            <w:tcW w:w="162"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right"/>
              <w:rPr/>
            </w:pPr>
            <w:r>
              <w:rPr/>
              <w:t> </w:t>
            </w:r>
          </w:p>
        </w:tc>
        <w:tc>
          <w:tcPr>
            <w:tcW w:w="38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0.3</w:t>
            </w:r>
          </w:p>
        </w:tc>
        <w:tc>
          <w:tcPr>
            <w:tcW w:w="60" w:type="dxa"/>
            <w:tcBorders/>
            <w:shd w:fill="CCEEFF" w:val="clear"/>
            <w:vAlign w:val="bottom"/>
          </w:tcPr>
          <w:p>
            <w:pPr>
              <w:pStyle w:val="TableContents"/>
              <w:bidi w:val="0"/>
              <w:spacing w:before="0" w:after="283"/>
              <w:jc w:val="left"/>
              <w:rPr/>
            </w:pPr>
            <w:r>
              <w:rPr/>
              <w:t> </w:t>
            </w:r>
          </w:p>
        </w:tc>
      </w:tr>
      <w:tr>
        <w:trPr/>
        <w:tc>
          <w:tcPr>
            <w:tcW w:w="2570" w:type="dxa"/>
            <w:tcBorders/>
            <w:vAlign w:val="bottom"/>
          </w:tcPr>
          <w:p>
            <w:pPr>
              <w:pStyle w:val="TableContents"/>
              <w:bidi w:val="0"/>
              <w:spacing w:before="0" w:after="0"/>
              <w:jc w:val="left"/>
              <w:rPr>
                <w:b/>
                <w:color w:val="000000"/>
              </w:rPr>
            </w:pPr>
            <w:r>
              <w:rPr>
                <w:b/>
                <w:color w:val="000000"/>
              </w:rPr>
              <w:t>Total revenue</w:t>
            </w:r>
          </w:p>
        </w:tc>
        <w:tc>
          <w:tcPr>
            <w:tcW w:w="60" w:type="dxa"/>
            <w:tcBorders/>
            <w:vAlign w:val="bottom"/>
          </w:tcPr>
          <w:p>
            <w:pPr>
              <w:pStyle w:val="TableContents"/>
              <w:bidi w:val="0"/>
              <w:spacing w:before="0" w:after="283"/>
              <w:jc w:val="right"/>
              <w:rPr/>
            </w:pPr>
            <w:r>
              <w:rPr/>
              <w:t> </w:t>
            </w:r>
          </w:p>
        </w:tc>
        <w:tc>
          <w:tcPr>
            <w:tcW w:w="420" w:type="dxa"/>
            <w:tcBorders>
              <w:bottom w:val="double" w:sz="8" w:space="0" w:color="000000"/>
            </w:tcBorders>
            <w:tcMar>
              <w:bottom w:w="28" w:type="dxa"/>
            </w:tcMar>
            <w:vAlign w:val="bottom"/>
          </w:tcPr>
          <w:p>
            <w:pPr>
              <w:pStyle w:val="TableContents"/>
              <w:bidi w:val="0"/>
              <w:spacing w:before="0" w:after="0"/>
              <w:jc w:val="left"/>
              <w:rPr>
                <w:b w:val="false"/>
                <w:color w:val="000000"/>
              </w:rPr>
            </w:pPr>
            <w:r>
              <w:rPr>
                <w:b w:val="false"/>
                <w:color w:val="000000"/>
              </w:rPr>
              <w:t>$</w:t>
            </w:r>
          </w:p>
        </w:tc>
        <w:tc>
          <w:tcPr>
            <w:tcW w:w="961" w:type="dxa"/>
            <w:tcBorders>
              <w:bottom w:val="double" w:sz="8" w:space="0" w:color="000000"/>
            </w:tcBorders>
            <w:tcMar>
              <w:bottom w:w="28" w:type="dxa"/>
            </w:tcMar>
            <w:vAlign w:val="bottom"/>
          </w:tcPr>
          <w:p>
            <w:pPr>
              <w:pStyle w:val="TableContents"/>
              <w:bidi w:val="0"/>
              <w:spacing w:before="0" w:after="0"/>
              <w:jc w:val="right"/>
              <w:rPr>
                <w:b w:val="false"/>
                <w:color w:val="000000"/>
              </w:rPr>
            </w:pPr>
            <w:r>
              <w:rPr>
                <w:b w:val="false"/>
                <w:color w:val="000000"/>
              </w:rPr>
              <w:t>0.8</w:t>
            </w:r>
          </w:p>
        </w:tc>
        <w:tc>
          <w:tcPr>
            <w:tcW w:w="18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right"/>
              <w:rPr/>
            </w:pPr>
            <w:r>
              <w:rPr/>
              <w:t> </w:t>
            </w:r>
          </w:p>
        </w:tc>
        <w:tc>
          <w:tcPr>
            <w:tcW w:w="420" w:type="dxa"/>
            <w:tcBorders>
              <w:bottom w:val="double" w:sz="8" w:space="0" w:color="000000"/>
            </w:tcBorders>
            <w:tcMar>
              <w:bottom w:w="28" w:type="dxa"/>
            </w:tcMar>
            <w:vAlign w:val="bottom"/>
          </w:tcPr>
          <w:p>
            <w:pPr>
              <w:pStyle w:val="TableContents"/>
              <w:bidi w:val="0"/>
              <w:spacing w:before="0" w:after="0"/>
              <w:jc w:val="left"/>
              <w:rPr>
                <w:b w:val="false"/>
                <w:color w:val="000000"/>
              </w:rPr>
            </w:pPr>
            <w:r>
              <w:rPr>
                <w:b w:val="false"/>
                <w:color w:val="000000"/>
              </w:rPr>
              <w:t>$</w:t>
            </w:r>
          </w:p>
        </w:tc>
        <w:tc>
          <w:tcPr>
            <w:tcW w:w="961" w:type="dxa"/>
            <w:tcBorders>
              <w:bottom w:val="double" w:sz="8" w:space="0" w:color="000000"/>
            </w:tcBorders>
            <w:tcMar>
              <w:bottom w:w="28" w:type="dxa"/>
            </w:tcMar>
            <w:vAlign w:val="bottom"/>
          </w:tcPr>
          <w:p>
            <w:pPr>
              <w:pStyle w:val="TableContents"/>
              <w:bidi w:val="0"/>
              <w:spacing w:before="0" w:after="0"/>
              <w:jc w:val="right"/>
              <w:rPr>
                <w:b w:val="false"/>
                <w:color w:val="000000"/>
              </w:rPr>
            </w:pPr>
            <w:r>
              <w:rPr>
                <w:b w:val="false"/>
                <w:color w:val="000000"/>
              </w:rPr>
              <w:t>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80" w:type="dxa"/>
            <w:tcBorders>
              <w:bottom w:val="double" w:sz="8" w:space="0" w:color="000000"/>
            </w:tcBorders>
            <w:tcMar>
              <w:bottom w:w="28" w:type="dxa"/>
            </w:tcMar>
            <w:vAlign w:val="bottom"/>
          </w:tcPr>
          <w:p>
            <w:pPr>
              <w:pStyle w:val="TableContents"/>
              <w:bidi w:val="0"/>
              <w:spacing w:before="0" w:after="0"/>
              <w:jc w:val="left"/>
              <w:rPr>
                <w:b w:val="false"/>
                <w:color w:val="000000"/>
              </w:rPr>
            </w:pPr>
            <w:r>
              <w:rPr>
                <w:b w:val="false"/>
                <w:color w:val="000000"/>
              </w:rPr>
              <w:t>$</w:t>
            </w:r>
          </w:p>
        </w:tc>
        <w:tc>
          <w:tcPr>
            <w:tcW w:w="869" w:type="dxa"/>
            <w:tcBorders>
              <w:bottom w:val="double" w:sz="8" w:space="0" w:color="000000"/>
            </w:tcBorders>
            <w:tcMar>
              <w:bottom w:w="28" w:type="dxa"/>
            </w:tcMar>
            <w:vAlign w:val="bottom"/>
          </w:tcPr>
          <w:p>
            <w:pPr>
              <w:pStyle w:val="TableContents"/>
              <w:bidi w:val="0"/>
              <w:spacing w:before="0" w:after="0"/>
              <w:jc w:val="right"/>
              <w:rPr>
                <w:b w:val="false"/>
                <w:color w:val="000000"/>
              </w:rPr>
            </w:pPr>
            <w:r>
              <w:rPr>
                <w:b w:val="false"/>
                <w:color w:val="000000"/>
              </w:rPr>
              <w:t>1.4</w:t>
            </w:r>
          </w:p>
        </w:tc>
        <w:tc>
          <w:tcPr>
            <w:tcW w:w="16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right"/>
              <w:rPr/>
            </w:pPr>
            <w:r>
              <w:rPr/>
              <w:t> </w:t>
            </w:r>
          </w:p>
        </w:tc>
        <w:tc>
          <w:tcPr>
            <w:tcW w:w="380" w:type="dxa"/>
            <w:tcBorders>
              <w:bottom w:val="double" w:sz="8" w:space="0" w:color="000000"/>
            </w:tcBorders>
            <w:tcMar>
              <w:bottom w:w="28" w:type="dxa"/>
            </w:tcMar>
            <w:vAlign w:val="bottom"/>
          </w:tcPr>
          <w:p>
            <w:pPr>
              <w:pStyle w:val="TableContents"/>
              <w:bidi w:val="0"/>
              <w:spacing w:before="0" w:after="0"/>
              <w:jc w:val="left"/>
              <w:rPr>
                <w:b w:val="false"/>
                <w:color w:val="000000"/>
              </w:rPr>
            </w:pPr>
            <w:r>
              <w:rPr>
                <w:b w:val="false"/>
                <w:color w:val="000000"/>
              </w:rPr>
              <w:t>$</w:t>
            </w:r>
          </w:p>
        </w:tc>
        <w:tc>
          <w:tcPr>
            <w:tcW w:w="869" w:type="dxa"/>
            <w:tcBorders>
              <w:bottom w:val="double" w:sz="8" w:space="0" w:color="000000"/>
            </w:tcBorders>
            <w:tcMar>
              <w:bottom w:w="28" w:type="dxa"/>
            </w:tcMar>
            <w:vAlign w:val="bottom"/>
          </w:tcPr>
          <w:p>
            <w:pPr>
              <w:pStyle w:val="TableContents"/>
              <w:bidi w:val="0"/>
              <w:spacing w:before="0" w:after="0"/>
              <w:jc w:val="right"/>
              <w:rPr>
                <w:b w:val="false"/>
                <w:color w:val="000000"/>
              </w:rPr>
            </w:pPr>
            <w:r>
              <w:rPr>
                <w:b w:val="false"/>
                <w:color w:val="000000"/>
              </w:rPr>
              <w:t>1.6</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bookmarkStart w:id="79" w:name="Section15"/>
      <w:bookmarkEnd w:id="79"/>
      <w:r>
        <w:rPr>
          <w:rFonts w:ascii="Times New Roman" w:hAnsi="Times New Roman"/>
          <w:b/>
          <w:color w:val="000000"/>
          <w:sz w:val="20"/>
        </w:rPr>
        <w:t>Note 7—Exclusive License and Option Agreement with Roche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In November 2025, the Company entered into an exclusive license and option agreement with Roche Sequencing Solutions, Inc. (‘‘Roche Sequencing’’), and a promissory note agreement with Roche Holdings (‘‘Roche Promissory Note Agreement’’) related to a convertible promissory note (the ‘‘Roche Convertible Note’’) under which the Company received total proceeds of $75.0 million (see Note 8).</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exclusive license and option agreement with Roche Sequencing (the ‘‘Roche License and Option Agreement’’) grants Roche Sequencing two rights: (a) an exclusive option (the ‘‘Option’’) to obtain an exclusive, royalty-bearing, sublicensable (subject to certain restrictions) license to certain of the Company’s intellectual property rights for the manufacture and sale of kitted assays for cancer screening, including for colorectal cancer and lung cancer (the ‘‘Licensed Products’’), outside the U.S.; and (b) in the event that the Company seeks to enter into a partnering transaction to offer centralized testing services for cancer screening outside the U.S., a preferred partner right to negotiate with the Company a definitive agreement for such partnering transaction. In addition, the Company agreed to conduct an evaluation of the Company’s cancer detection assays using Roche Sequencing’s sequencer (the ‘‘SBX Platform’’) for no more than two years (the ‘‘Evaluation Period’’), beginning when the SBX Platform is delivered to the Company by Roche Sequencing.</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Under the Roche License and Option Agreement, Roche Sequencing is obligated to pay the Company a $10.0 million option exercise fee within thirty (30) days of its written notice to exercise the option.</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If Roche Sequencing exercises the Option, the Company may receive up to $100.0 million in milestone payments as well as royalties on non-U. S. test sales that range from low single-digits to mid-teens, depending on sales of the Licensed Products. The Company may also receive up to $24.0 million in SBX research and development related milestones payments.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Option can be exercised anytime from November 14, 2025 (date of the Roche License and Option agreement) through and until one year after the earlier of (i) Licensed Products for at least five separate indications, including CRC and lung cancer as two of such five separate indications, have been approved or cleared by the FDA, or (ii) (x) Licensed Products for CRC and lung cancer have been approved or cleared by the FDA, and (y) the Company has launched Licensed Products as laboratory developed tests under applicable regulatory requirements in the U.S., or Licensed Products have been approved or cleared by the FDA, for three additional separate indications other than CRC and lung cancer. The agreement terminates upon the earlier of (i) the expiration of the royalty term for all Licensed Products in the Territory if the Customer exercises the Option, or (ii) if Roche does not exercise the Option, three years after the Company has made all commercial assays of the Company available on the SBX Platform or the termination of the SBX Evaluation Plan and Implementation Plan. The Roche License and Option Agreement is subject to termination by either party for the other party’s uncured material breach. Additionally, both the Company and Roche Sequencing have certain specific termination rights, upon sufficient prior written notice. The Company may terminate if, following the exercise of the Option, Roche Sequencing engages in any patent challenge with respect to any licensed patent. The Company also has termination rights if, following receipt of regulatory approval for a licensed product, Roche Sequencing (i) does not initiate commercialization activities for at least one licensed product during the twelve (12) month period following the date of such regulatory approval, or (ii) ceases all commercialization activities for all licensed products for a continuous period of twelve (12) months. Conversely, Roche Sequencing may terminate the agreement if there is a Change of Control at the Company.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Company determined that the Roche License and Option Agreement and the Roche Promissory Note Agreement should be assessed as a single combined transaction as the agreements were negotiated and entered into together, with a single commercial objective. The Company allocated the difference between the total upfront proceeds of $75.0 million and the initial fair value of the Roche Convertible Note (see Note 9) to the Roche License and Option Agreement. The Company recorded the $15.0 million proceeds allocated to the Roche License and Option Agreement as other long-term liabilities as of June 30, 2026 and December 31, 2025, respectively.</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Roche License and Option Agreement does not meet the criteria to be considered a contract under ASC 606 as of June 30, 2026 as the parties do not have enforceable rights until Roche Sequencing exercises the Option or delivers the SBX Platform to the Company. As of June 30, 2026, and through the date the consolidated financial statements are issued, Roche Sequencing has not exercised the Option and has not provided the SBX Platform to the Company. Following the exercise of the Option or delivery of the SBX Platform, the Roche License and Option Agreement will meet the criteria of a contract within the scope of ASC 606. The nature of the performance obligations identified in the Roche License and Option Agreement, and the satisfaction of those performance obligations, will vary depending on the timing of the exercise of the Option or delivery of the SBX Platform.</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Note 8—Debt</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Exact Note Purchase Agreement with Exact Sciences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In August 2025, the Company entered into a Convertible Promissory Note Purchase Agreement with Exact Sciences (‘‘Exact Sciences Note Purchase Agreement’’), pursuant to which the Company issued a senior unsecured convertible note (‘‘Exact Convertible Note’’) with an aggregate principal amount of $50.0 million to Exact Sciences, which remains fully outstanding as of June 30, 2026.</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Exact Convertible Note bears interest at 5% per annum and matures on the five-year anniversary date of August 12, 2030. Interest is payable quarterly in arrears on the last business day of each calendar quarter, beginning on September 30, 2025. The Exact Convertible Note will automatically convert into shares of the Company’s common stock upon the occurrence of a public listing, provided that, the volume-weighted average sales price over a period of 10 consecutive trading days exceeds 1.5 times the original offer price per share following the listing.</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Exact Convertible Note is convertible at any time prior to the maturity date, at the holder’s option, into shares of the Company’s most senior series of preferred stock (if converted prior to a public filing) or into shares of the Company’s common stock (if converted following a public filing). The conversion is calculated by dividing the total principal and accrued and unpaid interest by the applicable conversion price. The conversion price is (i) the original issue price of the Company’s most senior series of preferred stock if prior to a public offering, or (ii) a price per share equal to 1.5 times the original public listing price following a public offering.</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In the event of a default, Exact Science may accelerate the maturity date of the Exact Convertible Note and require full payment in cash of the principal amount, plus accrued and unpaid interest. Events of default include, among other things: failure to timely pay amounts due, the Company executing a general assignment for the benefit of creditors, the Company filing a petition or action for relief under any bankruptcy statute, or an involuntary petition being filed against the Company under any bankruptcy statute.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Exact Sciences Note Purchase Agreement was entered into in connection with the Exact Sciences License Agreement (see Note 6). These agreements were evaluated as a single contract for revenue recognition purposes under ASC 606 because they were negotiated as a package with a single commercial objective, and the consideration in one agreement is dependent on the price of the other agreement. Accordingly, the principal amount received by the Company in excess of the initial fair value of the Exact Convertible Note was included in the total transaction price of the Exact Sciences License Agreement and initially recorded as deferred revenue as of issuance date. Refer to Note 6 for further discussion of the revenue recognized related to the Exact Sciences License Agreement during the period ended June 30, 2026.</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Company elected the fair value option to account for the Exact Convertible Note. Issuance costs incurred were not deferred but were recognized as an expense during the year ended December 31, 2025. The Company measured the Exact Convertible Note, including accrued interest, at fair value upon issuance, resulting in a recorded fair value of $41.6 million as of the issuance date. The difference between the fair value of the Exact Convertible Note and the proceeds received of $50.0 million was included in the transaction price of the Exact Sciences License Agreement and recorded as deferred revenue as of the issuance date (see Note 6). The change in fair value as of June 30, 2026 was $0.1 million and is included in interest expense in the condensed consolidated statements of operations. As of June 30, 2026, the carrying value of the Exact Convertible Note was $41.7 million.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Promissory Note Agreement with Roche Holdings, a related party</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In November 2025, the Company executed the Roche Promissory Note Agreement with Roche Holdings, a related party, for a $75.0 million convertible promissory note, bearing an annual interest rate of 5%. The note is effective November 17, 2025 and matures May 17, 2027.</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Roche Convertible Note will automatically convert upon the earliest of: (i) the closing of the issuance and sale of capital stock of the Company in the Company’s underwritten initial public offering; (ii) any other transaction (such as a SPAC Transaction) that is not a Corporate Transaction (as defined in the Roche Promissory Note Agreement) but results in a class of the Company's shares or any successor entity's shares being registered under the Securities Exchange Act of 1934, as amended; or (iii) the next equity financing for shares of preferred stock.</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Roche Convertible Note is convertible at any time prior to the maturity date, at Roche’s option, into shares of the Company’s most senior series of preferred stock (if converted prior to a public filing) or into shares of the Company’s common stock (if converted following a public filing). The conversion is calculated by dividing the total principal and accrued and unpaid interest by the applicable conversion price, which is: (a) prior to a public listing of the Company, (x) the original issue price per share of the Company’s most senior series of preferred stock if prior to a public offering, or (y) the price paid per share for preferred stock by investors in a next equity financing times 80%; or (b) following a public listing of the Company, a price per share equal to 1.2 times the original public listing price.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In the event of a default, Roche may accelerate the maturity date of the Roche Convertible Note and require full payment in cash of the principal amount, plus accrued and unpaid interest. Events of default include, among other things: failure to timely pay amounts due, the Company executing a general assignment for the benefit of creditors, the Company filing a petition or action for relief under any bankruptcy statute, or an involuntary petition being filed against the Company under any bankruptcy statute.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Roche Convertible Note and the Roche License and Option Agreement (collectively, the ‘‘Roche Agreements’’) were evaluated as a single contract as they were negotiated as a package with a single commercial objective, and the consideration in one agreement is dependent on the price of the other. The Company received total proceeds of $75.0 million upon execution of the Roche Agreements. The Company allocated the $75.0 million upfront proceeds received under the Roche Agreements to the Roche Convertible Note based on its fair value on issuance date of  $60.0 million and to the Roche License and Option Agreement based on the excess of the total proceeds received over the issuance date fair value of the Convertible Note of $15.0 million.</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 xml:space="preserve">The Roche Convertible Note represents a liability under ASC 480, </w:t>
      </w:r>
      <w:r>
        <w:rPr>
          <w:rFonts w:ascii="Times New Roman" w:hAnsi="Times New Roman"/>
          <w:i/>
          <w:color w:val="000000"/>
          <w:sz w:val="20"/>
        </w:rPr>
        <w:t>Distinguishing Liabilities from Equity</w:t>
      </w:r>
      <w:r>
        <w:rPr>
          <w:rFonts w:ascii="Times New Roman" w:hAnsi="Times New Roman"/>
          <w:color w:val="000000"/>
          <w:sz w:val="20"/>
        </w:rPr>
        <w:t xml:space="preserve"> (‘‘ASC 480’’), and was initially recorded based on the initial amounts allocated less applicable issuance costs. The Roche Convertible Note will subsequently be accounted for using the interest method over the contractual life of the instrument in accordance with ASC 835-30. The Company recorded $0.9 million and $1.9 million of contractual interest expense related to the Roche Convertible Note during the three and six months ended June 30, 2026, respectively. As of June 30, 2026, the carrying value of the Roche Convertible Note was $65.5 million. Upon the Closing of the Business Combination, the Roche Convertible Note automatically converted into shares of New Freenome common stock in accordance with the terms of the note. See Note 17.</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following table summarizes the Company’s principal obligations for convertible notes as of June 30, 2026 (in millions):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80" w:name="z9ceea5b779f348948701331acf5be75d"/>
      <w:bookmarkStart w:id="81" w:name="z9ceea5b779f348948701331acf5be75d"/>
      <w:bookmarkEnd w:id="81"/>
    </w:p>
    <w:tbl>
      <w:tblPr>
        <w:tblW w:w="9745" w:type="dxa"/>
        <w:jc w:val="left"/>
        <w:tblInd w:w="0" w:type="dxa"/>
        <w:tblLayout w:type="fixed"/>
        <w:tblCellMar>
          <w:top w:w="0" w:type="dxa"/>
          <w:left w:w="0" w:type="dxa"/>
          <w:bottom w:w="0" w:type="dxa"/>
          <w:right w:w="0" w:type="dxa"/>
        </w:tblCellMar>
      </w:tblPr>
      <w:tblGrid>
        <w:gridCol w:w="4355"/>
        <w:gridCol w:w="60"/>
        <w:gridCol w:w="424"/>
        <w:gridCol w:w="1336"/>
        <w:gridCol w:w="95"/>
        <w:gridCol w:w="60"/>
        <w:gridCol w:w="595"/>
        <w:gridCol w:w="1870"/>
        <w:gridCol w:w="95"/>
        <w:gridCol w:w="60"/>
        <w:gridCol w:w="140"/>
        <w:gridCol w:w="560"/>
        <w:gridCol w:w="95"/>
      </w:tblGrid>
      <w:tr>
        <w:trPr/>
        <w:tc>
          <w:tcPr>
            <w:tcW w:w="4355" w:type="dxa"/>
            <w:tcBorders/>
            <w:vAlign w:val="bottom"/>
          </w:tcPr>
          <w:p>
            <w:pPr>
              <w:pStyle w:val="TableContents"/>
              <w:bidi w:val="0"/>
              <w:spacing w:before="0" w:after="0"/>
              <w:jc w:val="left"/>
              <w:rPr>
                <w:b/>
                <w:color w:val="000000"/>
              </w:rPr>
            </w:pPr>
            <w:r>
              <w:rPr>
                <w:b/>
                <w:color w:val="000000"/>
              </w:rPr>
              <w:t>Year Ending June 30,</w:t>
            </w:r>
          </w:p>
        </w:tc>
        <w:tc>
          <w:tcPr>
            <w:tcW w:w="60" w:type="dxa"/>
            <w:tcBorders/>
            <w:vAlign w:val="bottom"/>
          </w:tcPr>
          <w:p>
            <w:pPr>
              <w:pStyle w:val="TableContents"/>
              <w:bidi w:val="0"/>
              <w:spacing w:before="0" w:after="283"/>
              <w:jc w:val="left"/>
              <w:rPr/>
            </w:pPr>
            <w:r>
              <w:rPr/>
              <w:t> </w:t>
            </w:r>
          </w:p>
        </w:tc>
        <w:tc>
          <w:tcPr>
            <w:tcW w:w="176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Exact Sciences</w:t>
            </w:r>
          </w:p>
          <w:p>
            <w:pPr>
              <w:pStyle w:val="TableContents"/>
              <w:bidi w:val="0"/>
              <w:spacing w:before="0" w:after="0"/>
              <w:jc w:val="center"/>
              <w:rPr>
                <w:b/>
                <w:color w:val="000000"/>
              </w:rPr>
            </w:pPr>
            <w:r>
              <w:rPr>
                <w:b/>
                <w:color w:val="000000"/>
              </w:rPr>
              <w:t>Convertible Note</w:t>
            </w:r>
          </w:p>
        </w:tc>
        <w:tc>
          <w:tcPr>
            <w:tcW w:w="9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2465" w:type="dxa"/>
            <w:gridSpan w:val="2"/>
            <w:tcBorders>
              <w:bottom w:val="single" w:sz="12" w:space="0" w:color="000000"/>
            </w:tcBorders>
            <w:tcMar>
              <w:bottom w:w="28" w:type="dxa"/>
            </w:tcMar>
            <w:vAlign w:val="bottom"/>
          </w:tcPr>
          <w:p>
            <w:pPr>
              <w:pStyle w:val="TableContents"/>
              <w:bidi w:val="0"/>
              <w:spacing w:before="0" w:after="0"/>
              <w:jc w:val="right"/>
              <w:rPr>
                <w:b/>
                <w:color w:val="000000"/>
              </w:rPr>
            </w:pPr>
            <w:r>
              <w:rPr>
                <w:b/>
                <w:color w:val="000000"/>
              </w:rPr>
              <w:t>Roche Convertible Note</w:t>
            </w:r>
          </w:p>
        </w:tc>
        <w:tc>
          <w:tcPr>
            <w:tcW w:w="9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bottom"/>
          </w:tcPr>
          <w:p>
            <w:pPr>
              <w:pStyle w:val="TableContents"/>
              <w:bidi w:val="0"/>
              <w:spacing w:before="0" w:after="0"/>
              <w:jc w:val="right"/>
              <w:rPr>
                <w:b/>
                <w:color w:val="000000"/>
              </w:rPr>
            </w:pPr>
            <w:r>
              <w:rPr>
                <w:b/>
                <w:color w:val="000000"/>
              </w:rPr>
              <w:t>Total</w:t>
            </w:r>
          </w:p>
        </w:tc>
        <w:tc>
          <w:tcPr>
            <w:tcW w:w="95" w:type="dxa"/>
            <w:tcBorders/>
            <w:vAlign w:val="bottom"/>
          </w:tcPr>
          <w:p>
            <w:pPr>
              <w:pStyle w:val="TableContents"/>
              <w:bidi w:val="0"/>
              <w:spacing w:before="0" w:after="283"/>
              <w:jc w:val="left"/>
              <w:rPr/>
            </w:pPr>
            <w:r>
              <w:rPr/>
              <w:t> </w:t>
            </w:r>
          </w:p>
        </w:tc>
      </w:tr>
      <w:tr>
        <w:trPr/>
        <w:tc>
          <w:tcPr>
            <w:tcW w:w="4355" w:type="dxa"/>
            <w:tcBorders/>
            <w:shd w:fill="CCEEFF" w:val="clear"/>
            <w:vAlign w:val="bottom"/>
          </w:tcPr>
          <w:p>
            <w:pPr>
              <w:pStyle w:val="TableContents"/>
              <w:bidi w:val="0"/>
              <w:spacing w:before="0" w:after="0"/>
              <w:ind w:left="180" w:right="0" w:hanging="0"/>
              <w:jc w:val="left"/>
              <w:rPr>
                <w:color w:val="000000"/>
              </w:rPr>
            </w:pPr>
            <w:r>
              <w:rPr>
                <w:color w:val="000000"/>
              </w:rPr>
              <w:t>2026 (remainder of year)</w:t>
            </w:r>
          </w:p>
        </w:tc>
        <w:tc>
          <w:tcPr>
            <w:tcW w:w="60" w:type="dxa"/>
            <w:tcBorders/>
            <w:shd w:fill="CCEEFF" w:val="clear"/>
            <w:vAlign w:val="bottom"/>
          </w:tcPr>
          <w:p>
            <w:pPr>
              <w:pStyle w:val="TableContents"/>
              <w:bidi w:val="0"/>
              <w:spacing w:before="0" w:after="283"/>
              <w:jc w:val="right"/>
              <w:rPr/>
            </w:pPr>
            <w:r>
              <w:rPr/>
              <w:t> </w:t>
            </w:r>
          </w:p>
        </w:tc>
        <w:tc>
          <w:tcPr>
            <w:tcW w:w="424" w:type="dxa"/>
            <w:tcBorders/>
            <w:shd w:fill="CCEEFF" w:val="clear"/>
            <w:vAlign w:val="bottom"/>
          </w:tcPr>
          <w:p>
            <w:pPr>
              <w:pStyle w:val="TableContents"/>
              <w:bidi w:val="0"/>
              <w:spacing w:before="0" w:after="0"/>
              <w:jc w:val="left"/>
              <w:rPr>
                <w:color w:val="000000"/>
              </w:rPr>
            </w:pPr>
            <w:r>
              <w:rPr>
                <w:color w:val="000000"/>
              </w:rPr>
              <w:t>$</w:t>
            </w:r>
          </w:p>
        </w:tc>
        <w:tc>
          <w:tcPr>
            <w:tcW w:w="1336"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595" w:type="dxa"/>
            <w:tcBorders/>
            <w:shd w:fill="CCEEFF" w:val="clear"/>
            <w:vAlign w:val="bottom"/>
          </w:tcPr>
          <w:p>
            <w:pPr>
              <w:pStyle w:val="TableContents"/>
              <w:bidi w:val="0"/>
              <w:spacing w:before="0" w:after="0"/>
              <w:jc w:val="left"/>
              <w:rPr>
                <w:color w:val="000000"/>
              </w:rPr>
            </w:pPr>
            <w:r>
              <w:rPr>
                <w:color w:val="000000"/>
              </w:rPr>
              <w:t>$</w:t>
            </w:r>
          </w:p>
        </w:tc>
        <w:tc>
          <w:tcPr>
            <w:tcW w:w="1870"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560"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r>
      <w:tr>
        <w:trPr/>
        <w:tc>
          <w:tcPr>
            <w:tcW w:w="4355" w:type="dxa"/>
            <w:tcBorders/>
            <w:vAlign w:val="bottom"/>
          </w:tcPr>
          <w:p>
            <w:pPr>
              <w:pStyle w:val="TableContents"/>
              <w:bidi w:val="0"/>
              <w:spacing w:before="0" w:after="0"/>
              <w:ind w:left="180" w:right="0" w:hanging="0"/>
              <w:jc w:val="left"/>
              <w:rPr>
                <w:color w:val="000000"/>
              </w:rPr>
            </w:pPr>
            <w:r>
              <w:rPr>
                <w:color w:val="000000"/>
              </w:rPr>
              <w:t>2027</w:t>
            </w:r>
          </w:p>
        </w:tc>
        <w:tc>
          <w:tcPr>
            <w:tcW w:w="60" w:type="dxa"/>
            <w:tcBorders/>
            <w:vAlign w:val="bottom"/>
          </w:tcPr>
          <w:p>
            <w:pPr>
              <w:pStyle w:val="TableContents"/>
              <w:bidi w:val="0"/>
              <w:spacing w:before="0" w:after="283"/>
              <w:jc w:val="right"/>
              <w:rPr/>
            </w:pPr>
            <w:r>
              <w:rPr/>
              <w:t> </w:t>
            </w:r>
          </w:p>
        </w:tc>
        <w:tc>
          <w:tcPr>
            <w:tcW w:w="424"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595" w:type="dxa"/>
            <w:tcBorders/>
            <w:vAlign w:val="bottom"/>
          </w:tcPr>
          <w:p>
            <w:pPr>
              <w:pStyle w:val="TableContents"/>
              <w:bidi w:val="0"/>
              <w:spacing w:before="0" w:after="283"/>
              <w:jc w:val="left"/>
              <w:rPr/>
            </w:pPr>
            <w:r>
              <w:rPr/>
              <w:t> </w:t>
            </w:r>
          </w:p>
        </w:tc>
        <w:tc>
          <w:tcPr>
            <w:tcW w:w="1870" w:type="dxa"/>
            <w:tcBorders/>
            <w:vAlign w:val="bottom"/>
          </w:tcPr>
          <w:p>
            <w:pPr>
              <w:pStyle w:val="TableContents"/>
              <w:bidi w:val="0"/>
              <w:spacing w:before="0" w:after="0"/>
              <w:jc w:val="right"/>
              <w:rPr>
                <w:color w:val="000000"/>
              </w:rPr>
            </w:pPr>
            <w:r>
              <w:rPr>
                <w:color w:val="000000"/>
              </w:rPr>
              <w:t>75.0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color w:val="000000"/>
              </w:rPr>
            </w:pPr>
            <w:r>
              <w:rPr>
                <w:color w:val="000000"/>
              </w:rPr>
              <w:t>75.0</w:t>
            </w:r>
          </w:p>
        </w:tc>
        <w:tc>
          <w:tcPr>
            <w:tcW w:w="95" w:type="dxa"/>
            <w:tcBorders/>
            <w:vAlign w:val="bottom"/>
          </w:tcPr>
          <w:p>
            <w:pPr>
              <w:pStyle w:val="TableContents"/>
              <w:bidi w:val="0"/>
              <w:spacing w:before="0" w:after="283"/>
              <w:jc w:val="left"/>
              <w:rPr/>
            </w:pPr>
            <w:r>
              <w:rPr/>
              <w:t> </w:t>
            </w:r>
          </w:p>
        </w:tc>
      </w:tr>
      <w:tr>
        <w:trPr/>
        <w:tc>
          <w:tcPr>
            <w:tcW w:w="4355" w:type="dxa"/>
            <w:tcBorders/>
            <w:shd w:fill="CCEEFF" w:val="clear"/>
            <w:vAlign w:val="bottom"/>
          </w:tcPr>
          <w:p>
            <w:pPr>
              <w:pStyle w:val="TableContents"/>
              <w:bidi w:val="0"/>
              <w:spacing w:before="0" w:after="0"/>
              <w:ind w:left="180" w:right="0" w:hanging="0"/>
              <w:jc w:val="left"/>
              <w:rPr>
                <w:color w:val="000000"/>
              </w:rPr>
            </w:pPr>
            <w:r>
              <w:rPr>
                <w:color w:val="000000"/>
              </w:rPr>
              <w:t>2028</w:t>
            </w:r>
          </w:p>
        </w:tc>
        <w:tc>
          <w:tcPr>
            <w:tcW w:w="60" w:type="dxa"/>
            <w:tcBorders/>
            <w:shd w:fill="CCEEFF" w:val="clear"/>
            <w:vAlign w:val="bottom"/>
          </w:tcPr>
          <w:p>
            <w:pPr>
              <w:pStyle w:val="TableContents"/>
              <w:bidi w:val="0"/>
              <w:spacing w:before="0" w:after="283"/>
              <w:jc w:val="right"/>
              <w:rPr/>
            </w:pPr>
            <w:r>
              <w:rPr/>
              <w:t> </w:t>
            </w:r>
          </w:p>
        </w:tc>
        <w:tc>
          <w:tcPr>
            <w:tcW w:w="424"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595" w:type="dxa"/>
            <w:tcBorders/>
            <w:shd w:fill="CCEEFF" w:val="clear"/>
            <w:vAlign w:val="bottom"/>
          </w:tcPr>
          <w:p>
            <w:pPr>
              <w:pStyle w:val="TableContents"/>
              <w:bidi w:val="0"/>
              <w:spacing w:before="0" w:after="283"/>
              <w:jc w:val="left"/>
              <w:rPr/>
            </w:pPr>
            <w:r>
              <w:rPr/>
              <w:t> </w:t>
            </w:r>
          </w:p>
        </w:tc>
        <w:tc>
          <w:tcPr>
            <w:tcW w:w="1870"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r>
      <w:tr>
        <w:trPr/>
        <w:tc>
          <w:tcPr>
            <w:tcW w:w="4355" w:type="dxa"/>
            <w:tcBorders/>
            <w:vAlign w:val="bottom"/>
          </w:tcPr>
          <w:p>
            <w:pPr>
              <w:pStyle w:val="TableContents"/>
              <w:bidi w:val="0"/>
              <w:spacing w:before="0" w:after="0"/>
              <w:ind w:left="180" w:right="0" w:hanging="0"/>
              <w:jc w:val="left"/>
              <w:rPr>
                <w:color w:val="000000"/>
              </w:rPr>
            </w:pPr>
            <w:r>
              <w:rPr>
                <w:color w:val="000000"/>
              </w:rPr>
              <w:t>2029</w:t>
            </w:r>
          </w:p>
        </w:tc>
        <w:tc>
          <w:tcPr>
            <w:tcW w:w="60" w:type="dxa"/>
            <w:tcBorders/>
            <w:vAlign w:val="bottom"/>
          </w:tcPr>
          <w:p>
            <w:pPr>
              <w:pStyle w:val="TableContents"/>
              <w:bidi w:val="0"/>
              <w:spacing w:before="0" w:after="283"/>
              <w:jc w:val="right"/>
              <w:rPr/>
            </w:pPr>
            <w:r>
              <w:rPr/>
              <w:t> </w:t>
            </w:r>
          </w:p>
        </w:tc>
        <w:tc>
          <w:tcPr>
            <w:tcW w:w="424"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595" w:type="dxa"/>
            <w:tcBorders/>
            <w:vAlign w:val="bottom"/>
          </w:tcPr>
          <w:p>
            <w:pPr>
              <w:pStyle w:val="TableContents"/>
              <w:bidi w:val="0"/>
              <w:spacing w:before="0" w:after="283"/>
              <w:jc w:val="left"/>
              <w:rPr/>
            </w:pPr>
            <w:r>
              <w:rPr/>
              <w:t> </w:t>
            </w:r>
          </w:p>
        </w:tc>
        <w:tc>
          <w:tcPr>
            <w:tcW w:w="1870"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r>
      <w:tr>
        <w:trPr/>
        <w:tc>
          <w:tcPr>
            <w:tcW w:w="4355" w:type="dxa"/>
            <w:tcBorders/>
            <w:shd w:fill="CCEEFF" w:val="clear"/>
            <w:vAlign w:val="bottom"/>
          </w:tcPr>
          <w:p>
            <w:pPr>
              <w:pStyle w:val="TableContents"/>
              <w:bidi w:val="0"/>
              <w:spacing w:before="0" w:after="0"/>
              <w:ind w:left="180" w:right="0" w:hanging="0"/>
              <w:jc w:val="left"/>
              <w:rPr>
                <w:color w:val="000000"/>
              </w:rPr>
            </w:pPr>
            <w:r>
              <w:rPr>
                <w:color w:val="000000"/>
              </w:rPr>
              <w:t>2030</w:t>
            </w:r>
          </w:p>
        </w:tc>
        <w:tc>
          <w:tcPr>
            <w:tcW w:w="60" w:type="dxa"/>
            <w:tcBorders/>
            <w:shd w:fill="CCEEFF" w:val="clear"/>
            <w:vAlign w:val="bottom"/>
          </w:tcPr>
          <w:p>
            <w:pPr>
              <w:pStyle w:val="TableContents"/>
              <w:bidi w:val="0"/>
              <w:spacing w:before="0" w:after="283"/>
              <w:jc w:val="right"/>
              <w:rPr/>
            </w:pPr>
            <w:r>
              <w:rPr/>
              <w:t> </w:t>
            </w:r>
          </w:p>
        </w:tc>
        <w:tc>
          <w:tcPr>
            <w:tcW w:w="42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3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50.0</w:t>
            </w:r>
          </w:p>
        </w:tc>
        <w:tc>
          <w:tcPr>
            <w:tcW w:w="9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59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87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50.0</w:t>
            </w:r>
          </w:p>
        </w:tc>
        <w:tc>
          <w:tcPr>
            <w:tcW w:w="95" w:type="dxa"/>
            <w:tcBorders/>
            <w:shd w:fill="CCEEFF" w:val="clear"/>
            <w:vAlign w:val="bottom"/>
          </w:tcPr>
          <w:p>
            <w:pPr>
              <w:pStyle w:val="TableContents"/>
              <w:bidi w:val="0"/>
              <w:spacing w:before="0" w:after="283"/>
              <w:jc w:val="left"/>
              <w:rPr/>
            </w:pPr>
            <w:r>
              <w:rPr/>
              <w:t> </w:t>
            </w:r>
          </w:p>
        </w:tc>
      </w:tr>
      <w:tr>
        <w:trPr/>
        <w:tc>
          <w:tcPr>
            <w:tcW w:w="4355" w:type="dxa"/>
            <w:tcBorders/>
            <w:vAlign w:val="bottom"/>
          </w:tcPr>
          <w:p>
            <w:pPr>
              <w:pStyle w:val="TableContents"/>
              <w:bidi w:val="0"/>
              <w:spacing w:before="0" w:after="0"/>
              <w:jc w:val="left"/>
              <w:rPr>
                <w:color w:val="000000"/>
              </w:rPr>
            </w:pPr>
            <w:r>
              <w:rPr>
                <w:color w:val="000000"/>
              </w:rPr>
              <w:t>Total principal balance</w:t>
            </w:r>
          </w:p>
        </w:tc>
        <w:tc>
          <w:tcPr>
            <w:tcW w:w="60" w:type="dxa"/>
            <w:tcBorders/>
            <w:vAlign w:val="bottom"/>
          </w:tcPr>
          <w:p>
            <w:pPr>
              <w:pStyle w:val="TableContents"/>
              <w:bidi w:val="0"/>
              <w:spacing w:before="0" w:after="283"/>
              <w:jc w:val="right"/>
              <w:rPr/>
            </w:pPr>
            <w:r>
              <w:rPr/>
              <w:t> </w:t>
            </w:r>
          </w:p>
        </w:tc>
        <w:tc>
          <w:tcPr>
            <w:tcW w:w="424"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0"/>
              <w:jc w:val="right"/>
              <w:rPr>
                <w:color w:val="000000"/>
              </w:rPr>
            </w:pPr>
            <w:r>
              <w:rPr>
                <w:color w:val="000000"/>
              </w:rPr>
              <w:t>50.0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595" w:type="dxa"/>
            <w:tcBorders/>
            <w:vAlign w:val="bottom"/>
          </w:tcPr>
          <w:p>
            <w:pPr>
              <w:pStyle w:val="TableContents"/>
              <w:bidi w:val="0"/>
              <w:spacing w:before="0" w:after="283"/>
              <w:jc w:val="left"/>
              <w:rPr/>
            </w:pPr>
            <w:r>
              <w:rPr/>
              <w:t> </w:t>
            </w:r>
          </w:p>
        </w:tc>
        <w:tc>
          <w:tcPr>
            <w:tcW w:w="1870" w:type="dxa"/>
            <w:tcBorders/>
            <w:vAlign w:val="bottom"/>
          </w:tcPr>
          <w:p>
            <w:pPr>
              <w:pStyle w:val="TableContents"/>
              <w:bidi w:val="0"/>
              <w:spacing w:before="0" w:after="0"/>
              <w:jc w:val="right"/>
              <w:rPr>
                <w:color w:val="000000"/>
              </w:rPr>
            </w:pPr>
            <w:r>
              <w:rPr>
                <w:color w:val="000000"/>
              </w:rPr>
              <w:t>75.0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color w:val="000000"/>
              </w:rPr>
            </w:pPr>
            <w:r>
              <w:rPr>
                <w:color w:val="000000"/>
              </w:rPr>
              <w:t>125.0</w:t>
            </w:r>
          </w:p>
        </w:tc>
        <w:tc>
          <w:tcPr>
            <w:tcW w:w="95" w:type="dxa"/>
            <w:tcBorders/>
            <w:vAlign w:val="bottom"/>
          </w:tcPr>
          <w:p>
            <w:pPr>
              <w:pStyle w:val="TableContents"/>
              <w:bidi w:val="0"/>
              <w:spacing w:before="0" w:after="283"/>
              <w:jc w:val="left"/>
              <w:rPr/>
            </w:pPr>
            <w:r>
              <w:rPr/>
              <w:t> </w:t>
            </w:r>
          </w:p>
        </w:tc>
      </w:tr>
      <w:tr>
        <w:trPr/>
        <w:tc>
          <w:tcPr>
            <w:tcW w:w="4355" w:type="dxa"/>
            <w:tcBorders/>
            <w:shd w:fill="CCEEFF" w:val="clear"/>
            <w:vAlign w:val="bottom"/>
          </w:tcPr>
          <w:p>
            <w:pPr>
              <w:pStyle w:val="TableContents"/>
              <w:bidi w:val="0"/>
              <w:spacing w:before="0" w:after="0"/>
              <w:jc w:val="left"/>
              <w:rPr>
                <w:color w:val="000000"/>
              </w:rPr>
            </w:pPr>
            <w:r>
              <w:rPr>
                <w:color w:val="000000"/>
              </w:rPr>
              <w:t>Change in fair value of convertible notes</w:t>
            </w:r>
          </w:p>
        </w:tc>
        <w:tc>
          <w:tcPr>
            <w:tcW w:w="60" w:type="dxa"/>
            <w:tcBorders/>
            <w:shd w:fill="CCEEFF" w:val="clear"/>
            <w:vAlign w:val="bottom"/>
          </w:tcPr>
          <w:p>
            <w:pPr>
              <w:pStyle w:val="TableContents"/>
              <w:bidi w:val="0"/>
              <w:spacing w:before="0" w:after="283"/>
              <w:jc w:val="right"/>
              <w:rPr/>
            </w:pPr>
            <w:r>
              <w:rPr/>
              <w:t> </w:t>
            </w:r>
          </w:p>
        </w:tc>
        <w:tc>
          <w:tcPr>
            <w:tcW w:w="424"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0"/>
              <w:jc w:val="right"/>
              <w:rPr>
                <w:color w:val="000000"/>
              </w:rPr>
            </w:pPr>
            <w:r>
              <w:rPr>
                <w:color w:val="000000"/>
              </w:rPr>
              <w:t>0.1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595" w:type="dxa"/>
            <w:tcBorders/>
            <w:shd w:fill="CCEEFF" w:val="clear"/>
            <w:vAlign w:val="bottom"/>
          </w:tcPr>
          <w:p>
            <w:pPr>
              <w:pStyle w:val="TableContents"/>
              <w:bidi w:val="0"/>
              <w:spacing w:before="0" w:after="283"/>
              <w:jc w:val="left"/>
              <w:rPr/>
            </w:pPr>
            <w:r>
              <w:rPr/>
              <w:t> </w:t>
            </w:r>
          </w:p>
        </w:tc>
        <w:tc>
          <w:tcPr>
            <w:tcW w:w="1870"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color w:val="000000"/>
              </w:rPr>
            </w:pPr>
            <w:r>
              <w:rPr>
                <w:color w:val="000000"/>
              </w:rPr>
              <w:t>0.1</w:t>
            </w:r>
          </w:p>
        </w:tc>
        <w:tc>
          <w:tcPr>
            <w:tcW w:w="95" w:type="dxa"/>
            <w:tcBorders/>
            <w:shd w:fill="CCEEFF" w:val="clear"/>
            <w:vAlign w:val="bottom"/>
          </w:tcPr>
          <w:p>
            <w:pPr>
              <w:pStyle w:val="TableContents"/>
              <w:bidi w:val="0"/>
              <w:spacing w:before="0" w:after="283"/>
              <w:jc w:val="left"/>
              <w:rPr/>
            </w:pPr>
            <w:r>
              <w:rPr/>
              <w:t> </w:t>
            </w:r>
          </w:p>
        </w:tc>
      </w:tr>
      <w:tr>
        <w:trPr/>
        <w:tc>
          <w:tcPr>
            <w:tcW w:w="4355" w:type="dxa"/>
            <w:tcBorders/>
            <w:vAlign w:val="bottom"/>
          </w:tcPr>
          <w:p>
            <w:pPr>
              <w:pStyle w:val="TableContents"/>
              <w:bidi w:val="0"/>
              <w:spacing w:before="0" w:after="0"/>
              <w:jc w:val="left"/>
              <w:rPr>
                <w:color w:val="000000"/>
              </w:rPr>
            </w:pPr>
            <w:r>
              <w:rPr>
                <w:color w:val="000000"/>
              </w:rPr>
              <w:t>Amount allocated to Exact Sciences License</w:t>
            </w:r>
          </w:p>
        </w:tc>
        <w:tc>
          <w:tcPr>
            <w:tcW w:w="60" w:type="dxa"/>
            <w:tcBorders/>
            <w:vAlign w:val="bottom"/>
          </w:tcPr>
          <w:p>
            <w:pPr>
              <w:pStyle w:val="TableContents"/>
              <w:bidi w:val="0"/>
              <w:spacing w:before="0" w:after="283"/>
              <w:jc w:val="right"/>
              <w:rPr/>
            </w:pPr>
            <w:r>
              <w:rPr/>
              <w:t> </w:t>
            </w:r>
          </w:p>
        </w:tc>
        <w:tc>
          <w:tcPr>
            <w:tcW w:w="424"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0"/>
              <w:jc w:val="right"/>
              <w:rPr>
                <w:color w:val="000000"/>
              </w:rPr>
            </w:pPr>
            <w:r>
              <w:rPr>
                <w:color w:val="000000"/>
              </w:rPr>
              <w:t>(8.4</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595" w:type="dxa"/>
            <w:tcBorders/>
            <w:vAlign w:val="bottom"/>
          </w:tcPr>
          <w:p>
            <w:pPr>
              <w:pStyle w:val="TableContents"/>
              <w:bidi w:val="0"/>
              <w:spacing w:before="0" w:after="283"/>
              <w:jc w:val="left"/>
              <w:rPr/>
            </w:pPr>
            <w:r>
              <w:rPr/>
              <w:t> </w:t>
            </w:r>
          </w:p>
        </w:tc>
        <w:tc>
          <w:tcPr>
            <w:tcW w:w="1870" w:type="dxa"/>
            <w:tcBorders/>
            <w:vAlign w:val="bottom"/>
          </w:tcPr>
          <w:p>
            <w:pPr>
              <w:pStyle w:val="TableContents"/>
              <w:bidi w:val="0"/>
              <w:spacing w:before="0" w:after="0"/>
              <w:jc w:val="right"/>
              <w:rPr>
                <w:color w:val="000000"/>
              </w:rPr>
            </w:pPr>
            <w:r>
              <w:rPr>
                <w:color w:val="00000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color w:val="000000"/>
              </w:rPr>
            </w:pPr>
            <w:r>
              <w:rPr>
                <w:color w:val="000000"/>
              </w:rPr>
              <w:t>(8.4</w:t>
            </w:r>
          </w:p>
        </w:tc>
        <w:tc>
          <w:tcPr>
            <w:tcW w:w="95" w:type="dxa"/>
            <w:tcBorders/>
            <w:vAlign w:val="bottom"/>
          </w:tcPr>
          <w:p>
            <w:pPr>
              <w:pStyle w:val="TableContents"/>
              <w:bidi w:val="0"/>
              <w:spacing w:before="0" w:after="0"/>
              <w:jc w:val="left"/>
              <w:rPr>
                <w:color w:val="000000"/>
              </w:rPr>
            </w:pPr>
            <w:r>
              <w:rPr>
                <w:color w:val="000000"/>
              </w:rPr>
              <w:t>)</w:t>
            </w:r>
          </w:p>
        </w:tc>
      </w:tr>
      <w:tr>
        <w:trPr/>
        <w:tc>
          <w:tcPr>
            <w:tcW w:w="4355" w:type="dxa"/>
            <w:tcBorders/>
            <w:shd w:fill="CCEEFF" w:val="clear"/>
            <w:vAlign w:val="bottom"/>
          </w:tcPr>
          <w:p>
            <w:pPr>
              <w:pStyle w:val="TableContents"/>
              <w:bidi w:val="0"/>
              <w:spacing w:before="0" w:after="0"/>
              <w:jc w:val="left"/>
              <w:rPr>
                <w:color w:val="000000"/>
              </w:rPr>
            </w:pPr>
            <w:r>
              <w:rPr>
                <w:color w:val="000000"/>
              </w:rPr>
              <w:t>Unamortized debt discount and issuance costs</w:t>
            </w:r>
          </w:p>
        </w:tc>
        <w:tc>
          <w:tcPr>
            <w:tcW w:w="60" w:type="dxa"/>
            <w:tcBorders/>
            <w:shd w:fill="CCEEFF" w:val="clear"/>
            <w:vAlign w:val="bottom"/>
          </w:tcPr>
          <w:p>
            <w:pPr>
              <w:pStyle w:val="TableContents"/>
              <w:bidi w:val="0"/>
              <w:spacing w:before="0" w:after="283"/>
              <w:jc w:val="right"/>
              <w:rPr/>
            </w:pPr>
            <w:r>
              <w:rPr/>
              <w:t> </w:t>
            </w:r>
          </w:p>
        </w:tc>
        <w:tc>
          <w:tcPr>
            <w:tcW w:w="42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36"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59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87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(9.5</w:t>
            </w:r>
          </w:p>
        </w:tc>
        <w:tc>
          <w:tcPr>
            <w:tcW w:w="95"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(9.5</w:t>
            </w:r>
          </w:p>
        </w:tc>
        <w:tc>
          <w:tcPr>
            <w:tcW w:w="95" w:type="dxa"/>
            <w:tcBorders/>
            <w:shd w:fill="CCEEFF" w:val="clear"/>
            <w:vAlign w:val="bottom"/>
          </w:tcPr>
          <w:p>
            <w:pPr>
              <w:pStyle w:val="TableContents"/>
              <w:bidi w:val="0"/>
              <w:spacing w:before="0" w:after="0"/>
              <w:jc w:val="left"/>
              <w:rPr>
                <w:color w:val="000000"/>
              </w:rPr>
            </w:pPr>
            <w:r>
              <w:rPr>
                <w:color w:val="000000"/>
              </w:rPr>
              <w:t>)</w:t>
            </w:r>
          </w:p>
        </w:tc>
      </w:tr>
      <w:tr>
        <w:trPr/>
        <w:tc>
          <w:tcPr>
            <w:tcW w:w="4355" w:type="dxa"/>
            <w:tcBorders/>
            <w:vAlign w:val="bottom"/>
          </w:tcPr>
          <w:p>
            <w:pPr>
              <w:pStyle w:val="TableContents"/>
              <w:bidi w:val="0"/>
              <w:spacing w:before="0" w:after="0"/>
              <w:jc w:val="left"/>
              <w:rPr>
                <w:color w:val="000000"/>
              </w:rPr>
            </w:pPr>
            <w:r>
              <w:rPr>
                <w:color w:val="000000"/>
              </w:rPr>
              <w:t>Net carrying value</w:t>
            </w:r>
          </w:p>
        </w:tc>
        <w:tc>
          <w:tcPr>
            <w:tcW w:w="60" w:type="dxa"/>
            <w:tcBorders/>
            <w:vAlign w:val="bottom"/>
          </w:tcPr>
          <w:p>
            <w:pPr>
              <w:pStyle w:val="TableContents"/>
              <w:bidi w:val="0"/>
              <w:spacing w:before="0" w:after="283"/>
              <w:jc w:val="right"/>
              <w:rPr/>
            </w:pPr>
            <w:r>
              <w:rPr/>
              <w:t> </w:t>
            </w:r>
          </w:p>
        </w:tc>
        <w:tc>
          <w:tcPr>
            <w:tcW w:w="424"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336"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41.7</w:t>
            </w:r>
          </w:p>
        </w:tc>
        <w:tc>
          <w:tcPr>
            <w:tcW w:w="95" w:type="dxa"/>
            <w:tcBorders>
              <w:bottom w:val="double" w:sz="8" w:space="0" w:color="000000"/>
            </w:tcBorders>
            <w:tcMar>
              <w:bottom w:w="28" w:type="dxa"/>
            </w:tcMar>
            <w:vAlign w:val="bottom"/>
          </w:tcPr>
          <w:p>
            <w:pPr>
              <w:pStyle w:val="TableContents"/>
              <w:bidi w:val="0"/>
              <w:spacing w:before="0" w:after="283"/>
              <w:jc w:val="left"/>
              <w:rPr/>
            </w:pPr>
            <w:r>
              <w:rPr/>
              <w:t> </w:t>
            </w:r>
          </w:p>
        </w:tc>
        <w:tc>
          <w:tcPr>
            <w:tcW w:w="60" w:type="dxa"/>
            <w:tcBorders>
              <w:bottom w:val="double" w:sz="8" w:space="0" w:color="000000"/>
            </w:tcBorders>
            <w:tcMar>
              <w:bottom w:w="28" w:type="dxa"/>
            </w:tcMar>
            <w:vAlign w:val="bottom"/>
          </w:tcPr>
          <w:p>
            <w:pPr>
              <w:pStyle w:val="TableContents"/>
              <w:bidi w:val="0"/>
              <w:spacing w:before="0" w:after="283"/>
              <w:jc w:val="right"/>
              <w:rPr/>
            </w:pPr>
            <w:r>
              <w:rPr/>
              <w:t> </w:t>
            </w:r>
          </w:p>
        </w:tc>
        <w:tc>
          <w:tcPr>
            <w:tcW w:w="595"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87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65.5</w:t>
            </w:r>
          </w:p>
        </w:tc>
        <w:tc>
          <w:tcPr>
            <w:tcW w:w="95" w:type="dxa"/>
            <w:tcBorders>
              <w:bottom w:val="double" w:sz="8" w:space="0" w:color="000000"/>
            </w:tcBorders>
            <w:tcMar>
              <w:bottom w:w="28" w:type="dxa"/>
            </w:tcMar>
            <w:vAlign w:val="bottom"/>
          </w:tcPr>
          <w:p>
            <w:pPr>
              <w:pStyle w:val="TableContents"/>
              <w:bidi w:val="0"/>
              <w:spacing w:before="0" w:after="283"/>
              <w:jc w:val="left"/>
              <w:rPr/>
            </w:pPr>
            <w:r>
              <w:rPr/>
              <w:t> </w:t>
            </w:r>
          </w:p>
        </w:tc>
        <w:tc>
          <w:tcPr>
            <w:tcW w:w="60" w:type="dxa"/>
            <w:tcBorders>
              <w:bottom w:val="double" w:sz="8" w:space="0" w:color="000000"/>
            </w:tcBorders>
            <w:tcMar>
              <w:bottom w:w="28" w:type="dxa"/>
            </w:tcMar>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56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107.2</w:t>
            </w:r>
          </w:p>
        </w:tc>
        <w:tc>
          <w:tcPr>
            <w:tcW w:w="9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18</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Note 9—Common Stock</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Company has reserved shares for the issuance of common stock as follows: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2" w:name="zbae1b28ac1d44092909802adb000fab4"/>
      <w:bookmarkStart w:id="83" w:name="zbae1b28ac1d44092909802adb000fab4"/>
      <w:bookmarkEnd w:id="83"/>
    </w:p>
    <w:tbl>
      <w:tblPr>
        <w:tblW w:w="9928" w:type="dxa"/>
        <w:jc w:val="left"/>
        <w:tblInd w:w="0" w:type="dxa"/>
        <w:tblLayout w:type="fixed"/>
        <w:tblCellMar>
          <w:top w:w="0" w:type="dxa"/>
          <w:left w:w="0" w:type="dxa"/>
          <w:bottom w:w="0" w:type="dxa"/>
          <w:right w:w="0" w:type="dxa"/>
        </w:tblCellMar>
      </w:tblPr>
      <w:tblGrid>
        <w:gridCol w:w="6320"/>
        <w:gridCol w:w="60"/>
        <w:gridCol w:w="66"/>
        <w:gridCol w:w="1348"/>
        <w:gridCol w:w="60"/>
        <w:gridCol w:w="60"/>
        <w:gridCol w:w="91"/>
        <w:gridCol w:w="1863"/>
        <w:gridCol w:w="60"/>
      </w:tblGrid>
      <w:tr>
        <w:trPr/>
        <w:tc>
          <w:tcPr>
            <w:tcW w:w="6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June 30, 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4"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December 31, 2025</w:t>
            </w:r>
          </w:p>
        </w:tc>
        <w:tc>
          <w:tcPr>
            <w:tcW w:w="60" w:type="dxa"/>
            <w:tcBorders/>
            <w:vAlign w:val="bottom"/>
          </w:tcPr>
          <w:p>
            <w:pPr>
              <w:pStyle w:val="TableContents"/>
              <w:bidi w:val="0"/>
              <w:spacing w:before="0" w:after="283"/>
              <w:jc w:val="left"/>
              <w:rPr/>
            </w:pPr>
            <w:r>
              <w:rPr/>
              <w:t> </w:t>
            </w:r>
          </w:p>
        </w:tc>
      </w:tr>
      <w:tr>
        <w:trPr/>
        <w:tc>
          <w:tcPr>
            <w:tcW w:w="6320" w:type="dxa"/>
            <w:tcBorders/>
            <w:shd w:fill="CCEEFF" w:val="clear"/>
            <w:vAlign w:val="bottom"/>
          </w:tcPr>
          <w:p>
            <w:pPr>
              <w:pStyle w:val="TableContents"/>
              <w:bidi w:val="0"/>
              <w:spacing w:before="0" w:after="0"/>
              <w:jc w:val="both"/>
              <w:rPr>
                <w:color w:val="000000"/>
              </w:rPr>
            </w:pPr>
            <w:r>
              <w:rPr>
                <w:color w:val="000000"/>
              </w:rPr>
              <w:t>Convertible preferred stock common stock equivalent, if converted</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8" w:type="dxa"/>
            <w:tcBorders/>
            <w:shd w:fill="CCEEFF" w:val="clear"/>
            <w:vAlign w:val="bottom"/>
          </w:tcPr>
          <w:p>
            <w:pPr>
              <w:pStyle w:val="TableContents"/>
              <w:bidi w:val="0"/>
              <w:spacing w:before="0" w:after="0"/>
              <w:jc w:val="right"/>
              <w:rPr>
                <w:color w:val="000000"/>
              </w:rPr>
            </w:pPr>
            <w:r>
              <w:rPr>
                <w:color w:val="000000"/>
              </w:rPr>
              <w:t>213,907,881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863" w:type="dxa"/>
            <w:tcBorders/>
            <w:shd w:fill="CCEEFF" w:val="clear"/>
            <w:vAlign w:val="bottom"/>
          </w:tcPr>
          <w:p>
            <w:pPr>
              <w:pStyle w:val="TableContents"/>
              <w:bidi w:val="0"/>
              <w:spacing w:before="0" w:after="0"/>
              <w:jc w:val="right"/>
              <w:rPr>
                <w:color w:val="000000"/>
              </w:rPr>
            </w:pPr>
            <w:r>
              <w:rPr>
                <w:color w:val="000000"/>
              </w:rPr>
              <w:t>213,907,881</w:t>
            </w:r>
          </w:p>
        </w:tc>
        <w:tc>
          <w:tcPr>
            <w:tcW w:w="60" w:type="dxa"/>
            <w:tcBorders/>
            <w:shd w:fill="CCEEFF" w:val="clear"/>
            <w:vAlign w:val="bottom"/>
          </w:tcPr>
          <w:p>
            <w:pPr>
              <w:pStyle w:val="TableContents"/>
              <w:bidi w:val="0"/>
              <w:spacing w:before="0" w:after="283"/>
              <w:jc w:val="left"/>
              <w:rPr/>
            </w:pPr>
            <w:r>
              <w:rPr/>
              <w:t> </w:t>
            </w:r>
          </w:p>
        </w:tc>
      </w:tr>
      <w:tr>
        <w:trPr/>
        <w:tc>
          <w:tcPr>
            <w:tcW w:w="6320" w:type="dxa"/>
            <w:tcBorders/>
            <w:vAlign w:val="bottom"/>
          </w:tcPr>
          <w:p>
            <w:pPr>
              <w:pStyle w:val="TableContents"/>
              <w:bidi w:val="0"/>
              <w:spacing w:before="0" w:after="0"/>
              <w:jc w:val="both"/>
              <w:rPr>
                <w:color w:val="000000"/>
              </w:rPr>
            </w:pPr>
            <w:r>
              <w:rPr>
                <w:color w:val="000000"/>
              </w:rPr>
              <w:t>Shares available for issuance under 2016 Equity Incentive Plan</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8" w:type="dxa"/>
            <w:tcBorders/>
            <w:vAlign w:val="bottom"/>
          </w:tcPr>
          <w:p>
            <w:pPr>
              <w:pStyle w:val="TableContents"/>
              <w:bidi w:val="0"/>
              <w:spacing w:before="0" w:after="0"/>
              <w:jc w:val="right"/>
              <w:rPr>
                <w:color w:val="000000"/>
              </w:rPr>
            </w:pPr>
            <w:r>
              <w:rPr>
                <w:color w:val="000000"/>
              </w:rPr>
              <w:t>11,282,298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863" w:type="dxa"/>
            <w:tcBorders/>
            <w:vAlign w:val="bottom"/>
          </w:tcPr>
          <w:p>
            <w:pPr>
              <w:pStyle w:val="TableContents"/>
              <w:bidi w:val="0"/>
              <w:spacing w:before="0" w:after="0"/>
              <w:jc w:val="right"/>
              <w:rPr>
                <w:color w:val="000000"/>
              </w:rPr>
            </w:pPr>
            <w:r>
              <w:rPr>
                <w:color w:val="000000"/>
              </w:rPr>
              <w:t>10,804,104</w:t>
            </w:r>
          </w:p>
        </w:tc>
        <w:tc>
          <w:tcPr>
            <w:tcW w:w="60" w:type="dxa"/>
            <w:tcBorders/>
            <w:vAlign w:val="bottom"/>
          </w:tcPr>
          <w:p>
            <w:pPr>
              <w:pStyle w:val="TableContents"/>
              <w:bidi w:val="0"/>
              <w:spacing w:before="0" w:after="283"/>
              <w:jc w:val="left"/>
              <w:rPr/>
            </w:pPr>
            <w:r>
              <w:rPr/>
              <w:t> </w:t>
            </w:r>
          </w:p>
        </w:tc>
      </w:tr>
      <w:tr>
        <w:trPr/>
        <w:tc>
          <w:tcPr>
            <w:tcW w:w="6320" w:type="dxa"/>
            <w:tcBorders/>
            <w:shd w:fill="CCEEFF" w:val="clear"/>
            <w:vAlign w:val="bottom"/>
          </w:tcPr>
          <w:p>
            <w:pPr>
              <w:pStyle w:val="TableContents"/>
              <w:bidi w:val="0"/>
              <w:spacing w:before="0" w:after="0"/>
              <w:jc w:val="both"/>
              <w:rPr>
                <w:color w:val="000000"/>
              </w:rPr>
            </w:pPr>
            <w:r>
              <w:rPr>
                <w:color w:val="000000"/>
              </w:rPr>
              <w:t>Stock-based awards outstanding</w:t>
            </w:r>
          </w:p>
        </w:tc>
        <w:tc>
          <w:tcPr>
            <w:tcW w:w="60"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48" w:type="dxa"/>
            <w:tcBorders/>
            <w:shd w:fill="CCEEFF" w:val="clear"/>
            <w:vAlign w:val="bottom"/>
          </w:tcPr>
          <w:p>
            <w:pPr>
              <w:pStyle w:val="TableContents"/>
              <w:bidi w:val="0"/>
              <w:spacing w:before="0" w:after="0"/>
              <w:jc w:val="right"/>
              <w:rPr>
                <w:color w:val="000000"/>
              </w:rPr>
            </w:pPr>
            <w:r>
              <w:rPr>
                <w:color w:val="000000"/>
              </w:rPr>
              <w:t>43,506,948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863" w:type="dxa"/>
            <w:tcBorders/>
            <w:shd w:fill="CCEEFF" w:val="clear"/>
            <w:vAlign w:val="bottom"/>
          </w:tcPr>
          <w:p>
            <w:pPr>
              <w:pStyle w:val="TableContents"/>
              <w:bidi w:val="0"/>
              <w:spacing w:before="0" w:after="0"/>
              <w:jc w:val="right"/>
              <w:rPr>
                <w:color w:val="000000"/>
              </w:rPr>
            </w:pPr>
            <w:r>
              <w:rPr>
                <w:color w:val="000000"/>
              </w:rPr>
              <w:t>43,985,142</w:t>
            </w:r>
          </w:p>
        </w:tc>
        <w:tc>
          <w:tcPr>
            <w:tcW w:w="60" w:type="dxa"/>
            <w:tcBorders/>
            <w:shd w:fill="CCEEFF" w:val="clear"/>
            <w:vAlign w:val="bottom"/>
          </w:tcPr>
          <w:p>
            <w:pPr>
              <w:pStyle w:val="TableContents"/>
              <w:bidi w:val="0"/>
              <w:spacing w:before="0" w:after="283"/>
              <w:jc w:val="left"/>
              <w:rPr/>
            </w:pPr>
            <w:r>
              <w:rPr/>
              <w:t> </w:t>
            </w:r>
          </w:p>
        </w:tc>
      </w:tr>
      <w:tr>
        <w:trPr/>
        <w:tc>
          <w:tcPr>
            <w:tcW w:w="6320" w:type="dxa"/>
            <w:tcBorders/>
            <w:vAlign w:val="bottom"/>
          </w:tcPr>
          <w:p>
            <w:pPr>
              <w:pStyle w:val="TableContents"/>
              <w:bidi w:val="0"/>
              <w:spacing w:before="0" w:after="0"/>
              <w:jc w:val="both"/>
              <w:rPr>
                <w:color w:val="000000"/>
              </w:rPr>
            </w:pPr>
            <w:r>
              <w:rPr>
                <w:color w:val="000000"/>
              </w:rPr>
              <w:t>Warrants to purchase common stock</w:t>
            </w:r>
          </w:p>
        </w:tc>
        <w:tc>
          <w:tcPr>
            <w:tcW w:w="60"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48" w:type="dxa"/>
            <w:tcBorders/>
            <w:vAlign w:val="bottom"/>
          </w:tcPr>
          <w:p>
            <w:pPr>
              <w:pStyle w:val="TableContents"/>
              <w:bidi w:val="0"/>
              <w:spacing w:before="0" w:after="0"/>
              <w:jc w:val="right"/>
              <w:rPr>
                <w:color w:val="000000"/>
              </w:rPr>
            </w:pPr>
            <w:r>
              <w:rPr>
                <w:color w:val="000000"/>
              </w:rPr>
              <w:t>478,060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863" w:type="dxa"/>
            <w:tcBorders/>
            <w:vAlign w:val="bottom"/>
          </w:tcPr>
          <w:p>
            <w:pPr>
              <w:pStyle w:val="TableContents"/>
              <w:bidi w:val="0"/>
              <w:spacing w:before="0" w:after="0"/>
              <w:jc w:val="right"/>
              <w:rPr>
                <w:color w:val="000000"/>
              </w:rPr>
            </w:pPr>
            <w:r>
              <w:rPr>
                <w:color w:val="000000"/>
              </w:rPr>
              <w:t>478,060</w:t>
            </w:r>
          </w:p>
        </w:tc>
        <w:tc>
          <w:tcPr>
            <w:tcW w:w="60" w:type="dxa"/>
            <w:tcBorders/>
            <w:vAlign w:val="bottom"/>
          </w:tcPr>
          <w:p>
            <w:pPr>
              <w:pStyle w:val="TableContents"/>
              <w:bidi w:val="0"/>
              <w:spacing w:before="0" w:after="283"/>
              <w:jc w:val="left"/>
              <w:rPr/>
            </w:pPr>
            <w:r>
              <w:rPr/>
              <w:t> </w:t>
            </w:r>
          </w:p>
        </w:tc>
      </w:tr>
      <w:tr>
        <w:trPr/>
        <w:tc>
          <w:tcPr>
            <w:tcW w:w="6320" w:type="dxa"/>
            <w:tcBorders/>
            <w:shd w:fill="CCEEFF" w:val="clear"/>
            <w:vAlign w:val="bottom"/>
          </w:tcPr>
          <w:p>
            <w:pPr>
              <w:pStyle w:val="TableContents"/>
              <w:bidi w:val="0"/>
              <w:spacing w:lineRule="auto" w:line="240" w:before="0" w:after="0"/>
              <w:jc w:val="both"/>
              <w:rPr>
                <w:color w:val="000000"/>
              </w:rPr>
            </w:pPr>
            <w:r>
              <w:rPr>
                <w:color w:val="000000"/>
              </w:rPr>
              <w:t>Convertible notes(2)</w:t>
            </w:r>
          </w:p>
        </w:tc>
        <w:tc>
          <w:tcPr>
            <w:tcW w:w="60" w:type="dxa"/>
            <w:tcBorders/>
            <w:shd w:fill="CCEEFF" w:val="clear"/>
            <w:vAlign w:val="bottom"/>
          </w:tcPr>
          <w:p>
            <w:pPr>
              <w:pStyle w:val="TableContents"/>
              <w:bidi w:val="0"/>
              <w:spacing w:before="0" w:after="283"/>
              <w:jc w:val="left"/>
              <w:rPr/>
            </w:pPr>
            <w:r>
              <w:rPr/>
              <w:t> </w:t>
            </w:r>
          </w:p>
        </w:tc>
        <w:tc>
          <w:tcPr>
            <w:tcW w:w="6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4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17,208,781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86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17,170,902</w:t>
            </w:r>
          </w:p>
        </w:tc>
        <w:tc>
          <w:tcPr>
            <w:tcW w:w="60" w:type="dxa"/>
            <w:tcBorders/>
            <w:shd w:fill="CCEEFF" w:val="clear"/>
            <w:vAlign w:val="bottom"/>
          </w:tcPr>
          <w:p>
            <w:pPr>
              <w:pStyle w:val="TableContents"/>
              <w:bidi w:val="0"/>
              <w:spacing w:before="0" w:after="283"/>
              <w:jc w:val="left"/>
              <w:rPr/>
            </w:pPr>
            <w:r>
              <w:rPr/>
              <w:t> </w:t>
            </w:r>
          </w:p>
        </w:tc>
      </w:tr>
      <w:tr>
        <w:trPr/>
        <w:tc>
          <w:tcPr>
            <w:tcW w:w="6320" w:type="dxa"/>
            <w:tcBorders/>
            <w:vAlign w:val="bottom"/>
          </w:tcPr>
          <w:p>
            <w:pPr>
              <w:pStyle w:val="TableContents"/>
              <w:bidi w:val="0"/>
              <w:spacing w:before="0" w:after="0"/>
              <w:ind w:left="180" w:right="0" w:hanging="0"/>
              <w:jc w:val="left"/>
              <w:rPr>
                <w:color w:val="000000"/>
              </w:rPr>
            </w:pPr>
            <w:r>
              <w:rPr>
                <w:color w:val="000000"/>
              </w:rPr>
              <w:t>Total</w:t>
            </w:r>
          </w:p>
        </w:tc>
        <w:tc>
          <w:tcPr>
            <w:tcW w:w="60" w:type="dxa"/>
            <w:tcBorders/>
            <w:vAlign w:val="bottom"/>
          </w:tcPr>
          <w:p>
            <w:pPr>
              <w:pStyle w:val="TableContents"/>
              <w:bidi w:val="0"/>
              <w:spacing w:before="0" w:after="283"/>
              <w:jc w:val="left"/>
              <w:rPr/>
            </w:pPr>
            <w:r>
              <w:rPr/>
              <w:t> </w:t>
            </w:r>
          </w:p>
        </w:tc>
        <w:tc>
          <w:tcPr>
            <w:tcW w:w="66" w:type="dxa"/>
            <w:tcBorders>
              <w:bottom w:val="double" w:sz="8" w:space="0" w:color="000000"/>
            </w:tcBorders>
            <w:tcMar>
              <w:bottom w:w="28" w:type="dxa"/>
            </w:tcMar>
            <w:vAlign w:val="bottom"/>
          </w:tcPr>
          <w:p>
            <w:pPr>
              <w:pStyle w:val="TableContents"/>
              <w:bidi w:val="0"/>
              <w:spacing w:before="0" w:after="283"/>
              <w:jc w:val="left"/>
              <w:rPr/>
            </w:pPr>
            <w:r>
              <w:rPr/>
              <w:t> </w:t>
            </w:r>
          </w:p>
        </w:tc>
        <w:tc>
          <w:tcPr>
            <w:tcW w:w="1348"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286,383,968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1" w:type="dxa"/>
            <w:tcBorders>
              <w:bottom w:val="double" w:sz="8" w:space="0" w:color="000000"/>
            </w:tcBorders>
            <w:tcMar>
              <w:bottom w:w="28" w:type="dxa"/>
            </w:tcMar>
            <w:vAlign w:val="bottom"/>
          </w:tcPr>
          <w:p>
            <w:pPr>
              <w:pStyle w:val="TableContents"/>
              <w:bidi w:val="0"/>
              <w:spacing w:before="0" w:after="283"/>
              <w:jc w:val="left"/>
              <w:rPr/>
            </w:pPr>
            <w:r>
              <w:rPr/>
              <w:t> </w:t>
            </w:r>
          </w:p>
        </w:tc>
        <w:tc>
          <w:tcPr>
            <w:tcW w:w="1863"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286,346,089</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t> </w:t>
      </w:r>
    </w:p>
    <w:p>
      <w:pPr>
        <w:pStyle w:val="TextBody"/>
        <w:bidi w:val="0"/>
        <w:spacing w:lineRule="auto" w:line="240" w:before="0" w:after="0"/>
        <w:jc w:val="left"/>
        <w:rPr>
          <w:rFonts w:ascii="Times New Roman" w:hAnsi="Times New Roman"/>
          <w:color w:val="000000"/>
          <w:sz w:val="20"/>
        </w:rPr>
      </w:pPr>
      <w:r>
        <w:rPr>
          <w:rFonts w:ascii="Times New Roman" w:hAnsi="Times New Roman"/>
          <w:color w:val="000000"/>
          <w:sz w:val="20"/>
        </w:rPr>
        <w:t>(2) The Company reasonably assumed the Convertible Notes will convert upon a public listing as defined in Note 8.</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Retirement of the Treasury Shares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In February 2025, the Board of Directors approved the retirement of the 3,274,353 shares of common stock that were repurchased by the Company in 2019. Upon the formal retirement of treasury shares, the acquisition cost of repurchased shares of $2.6 million was reclassified out of treasury stock and recognized in additional paid-in-capital. The retired treasury shares revert to the status of authorized and unissued common shares.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bookmarkStart w:id="84" w:name="Section18"/>
      <w:bookmarkEnd w:id="84"/>
      <w:r>
        <w:rPr>
          <w:rFonts w:ascii="Times New Roman" w:hAnsi="Times New Roman"/>
          <w:b/>
          <w:color w:val="000000"/>
          <w:sz w:val="20"/>
        </w:rPr>
        <w:t>Note 10 —Convertible Preferred Stock</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Company’s redeemable convertible preferred stock as of June 30, 2026 and December 31, 2025, consisted of the following:</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85" w:name="z426959bb59394a6f99ce1beaf9a3b9ca"/>
      <w:bookmarkStart w:id="86" w:name="z426959bb59394a6f99ce1beaf9a3b9ca"/>
      <w:bookmarkEnd w:id="86"/>
    </w:p>
    <w:tbl>
      <w:tblPr>
        <w:tblW w:w="9259" w:type="dxa"/>
        <w:jc w:val="left"/>
        <w:tblInd w:w="0" w:type="dxa"/>
        <w:tblLayout w:type="fixed"/>
        <w:tblCellMar>
          <w:top w:w="0" w:type="dxa"/>
          <w:left w:w="0" w:type="dxa"/>
          <w:bottom w:w="0" w:type="dxa"/>
          <w:right w:w="0" w:type="dxa"/>
        </w:tblCellMar>
      </w:tblPr>
      <w:tblGrid>
        <w:gridCol w:w="2225"/>
        <w:gridCol w:w="60"/>
        <w:gridCol w:w="60"/>
        <w:gridCol w:w="1220"/>
        <w:gridCol w:w="60"/>
        <w:gridCol w:w="60"/>
        <w:gridCol w:w="60"/>
        <w:gridCol w:w="1240"/>
        <w:gridCol w:w="60"/>
        <w:gridCol w:w="60"/>
        <w:gridCol w:w="159"/>
        <w:gridCol w:w="1051"/>
        <w:gridCol w:w="60"/>
        <w:gridCol w:w="60"/>
        <w:gridCol w:w="155"/>
        <w:gridCol w:w="1085"/>
        <w:gridCol w:w="60"/>
        <w:gridCol w:w="60"/>
        <w:gridCol w:w="175"/>
        <w:gridCol w:w="1229"/>
        <w:gridCol w:w="60"/>
      </w:tblGrid>
      <w:tr>
        <w:trPr/>
        <w:tc>
          <w:tcPr>
            <w:tcW w:w="22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bottom"/>
          </w:tcPr>
          <w:p>
            <w:pPr>
              <w:pStyle w:val="TableContents"/>
              <w:bidi w:val="0"/>
              <w:spacing w:before="0" w:after="0"/>
              <w:ind w:left="0" w:right="0" w:firstLine="20"/>
              <w:jc w:val="center"/>
              <w:rPr>
                <w:b/>
                <w:color w:val="000000"/>
              </w:rPr>
            </w:pPr>
            <w:r>
              <w:rPr>
                <w:b/>
                <w:color w:val="000000"/>
              </w:rPr>
              <w:t>Shares</w:t>
            </w:r>
          </w:p>
          <w:p>
            <w:pPr>
              <w:pStyle w:val="TableContents"/>
              <w:bidi w:val="0"/>
              <w:spacing w:before="0" w:after="0"/>
              <w:ind w:left="0" w:right="0" w:firstLine="20"/>
              <w:jc w:val="center"/>
              <w:rPr>
                <w:b/>
                <w:color w:val="000000"/>
              </w:rPr>
            </w:pPr>
            <w:r>
              <w:rPr>
                <w:b/>
                <w:color w:val="000000"/>
              </w:rPr>
              <w:t>Authorized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bottom"/>
          </w:tcPr>
          <w:p>
            <w:pPr>
              <w:pStyle w:val="TableContents"/>
              <w:bidi w:val="0"/>
              <w:spacing w:before="0" w:after="0"/>
              <w:ind w:left="0" w:right="0" w:firstLine="20"/>
              <w:jc w:val="center"/>
              <w:rPr>
                <w:b/>
                <w:color w:val="000000"/>
              </w:rPr>
            </w:pPr>
            <w:r>
              <w:rPr>
                <w:b/>
                <w:color w:val="000000"/>
              </w:rPr>
              <w:t>Shares</w:t>
            </w:r>
          </w:p>
          <w:p>
            <w:pPr>
              <w:pStyle w:val="TableContents"/>
              <w:bidi w:val="0"/>
              <w:spacing w:before="0" w:after="0"/>
              <w:ind w:left="0" w:right="0" w:firstLine="20"/>
              <w:jc w:val="center"/>
              <w:rPr>
                <w:b/>
                <w:color w:val="000000"/>
              </w:rPr>
            </w:pPr>
            <w:r>
              <w:rPr>
                <w:b/>
                <w:color w:val="000000"/>
              </w:rPr>
              <w:t>Issued and</w:t>
            </w:r>
          </w:p>
          <w:p>
            <w:pPr>
              <w:pStyle w:val="TableContents"/>
              <w:bidi w:val="0"/>
              <w:spacing w:before="0" w:after="0"/>
              <w:ind w:left="0" w:right="0" w:firstLine="20"/>
              <w:jc w:val="center"/>
              <w:rPr>
                <w:b/>
                <w:color w:val="000000"/>
              </w:rPr>
            </w:pPr>
            <w:r>
              <w:rPr>
                <w:b/>
                <w:color w:val="000000"/>
              </w:rPr>
              <w:t>Outstanding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0" w:type="dxa"/>
            <w:gridSpan w:val="2"/>
            <w:tcBorders>
              <w:bottom w:val="single" w:sz="12" w:space="0" w:color="000000"/>
            </w:tcBorders>
            <w:tcMar>
              <w:bottom w:w="28" w:type="dxa"/>
            </w:tcMar>
            <w:vAlign w:val="bottom"/>
          </w:tcPr>
          <w:p>
            <w:pPr>
              <w:pStyle w:val="TableContents"/>
              <w:bidi w:val="0"/>
              <w:spacing w:before="0" w:after="0"/>
              <w:ind w:left="0" w:right="0" w:firstLine="20"/>
              <w:jc w:val="center"/>
              <w:rPr>
                <w:b/>
                <w:color w:val="000000"/>
              </w:rPr>
            </w:pPr>
            <w:r>
              <w:rPr>
                <w:b/>
                <w:color w:val="000000"/>
              </w:rPr>
              <w:t>Conversion</w:t>
            </w:r>
          </w:p>
          <w:p>
            <w:pPr>
              <w:pStyle w:val="TableContents"/>
              <w:bidi w:val="0"/>
              <w:spacing w:before="0" w:after="0"/>
              <w:ind w:left="0" w:right="0" w:firstLine="20"/>
              <w:jc w:val="center"/>
              <w:rPr>
                <w:b/>
                <w:color w:val="000000"/>
              </w:rPr>
            </w:pPr>
            <w:r>
              <w:rPr>
                <w:b/>
                <w:color w:val="000000"/>
              </w:rPr>
              <w:t>Price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bottom"/>
          </w:tcPr>
          <w:p>
            <w:pPr>
              <w:pStyle w:val="TableContents"/>
              <w:bidi w:val="0"/>
              <w:spacing w:before="0" w:after="0"/>
              <w:ind w:left="0" w:right="0" w:firstLine="20"/>
              <w:jc w:val="center"/>
              <w:rPr>
                <w:b/>
                <w:color w:val="000000"/>
              </w:rPr>
            </w:pPr>
            <w:r>
              <w:rPr>
                <w:b/>
                <w:color w:val="000000"/>
              </w:rPr>
              <w:t>Aggregate</w:t>
            </w:r>
          </w:p>
          <w:p>
            <w:pPr>
              <w:pStyle w:val="TableContents"/>
              <w:bidi w:val="0"/>
              <w:spacing w:before="0" w:after="0"/>
              <w:ind w:left="0" w:right="0" w:firstLine="20"/>
              <w:jc w:val="center"/>
              <w:rPr>
                <w:b/>
                <w:color w:val="000000"/>
              </w:rPr>
            </w:pPr>
            <w:r>
              <w:rPr>
                <w:b/>
                <w:color w:val="000000"/>
              </w:rPr>
              <w:t>Liquidation</w:t>
            </w:r>
          </w:p>
          <w:p>
            <w:pPr>
              <w:pStyle w:val="TableContents"/>
              <w:bidi w:val="0"/>
              <w:spacing w:before="0" w:after="0"/>
              <w:ind w:left="0" w:right="0" w:firstLine="20"/>
              <w:jc w:val="center"/>
              <w:rPr>
                <w:b/>
                <w:color w:val="000000"/>
              </w:rPr>
            </w:pPr>
            <w:r>
              <w:rPr>
                <w:b/>
                <w:color w:val="000000"/>
              </w:rPr>
              <w:t>Preference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4" w:type="dxa"/>
            <w:gridSpan w:val="2"/>
            <w:tcBorders>
              <w:bottom w:val="single" w:sz="12" w:space="0" w:color="000000"/>
            </w:tcBorders>
            <w:tcMar>
              <w:bottom w:w="28" w:type="dxa"/>
            </w:tcMar>
            <w:vAlign w:val="bottom"/>
          </w:tcPr>
          <w:p>
            <w:pPr>
              <w:pStyle w:val="TableContents"/>
              <w:bidi w:val="0"/>
              <w:spacing w:before="0" w:after="0"/>
              <w:ind w:left="0" w:right="0" w:firstLine="20"/>
              <w:jc w:val="center"/>
              <w:rPr>
                <w:b/>
                <w:color w:val="000000"/>
              </w:rPr>
            </w:pPr>
            <w:r>
              <w:rPr>
                <w:b/>
                <w:color w:val="000000"/>
              </w:rPr>
              <w:t>Net Carrying</w:t>
            </w:r>
          </w:p>
          <w:p>
            <w:pPr>
              <w:pStyle w:val="TableContents"/>
              <w:bidi w:val="0"/>
              <w:spacing w:before="0" w:after="0"/>
              <w:ind w:left="0" w:right="0" w:firstLine="20"/>
              <w:jc w:val="center"/>
              <w:rPr>
                <w:b/>
                <w:color w:val="000000"/>
              </w:rPr>
            </w:pPr>
            <w:r>
              <w:rPr>
                <w:b/>
                <w:color w:val="000000"/>
              </w:rPr>
              <w:t>Value</w:t>
            </w:r>
          </w:p>
        </w:tc>
        <w:tc>
          <w:tcPr>
            <w:tcW w:w="60" w:type="dxa"/>
            <w:tcBorders/>
            <w:vAlign w:val="bottom"/>
          </w:tcPr>
          <w:p>
            <w:pPr>
              <w:pStyle w:val="TableContents"/>
              <w:bidi w:val="0"/>
              <w:spacing w:before="0" w:after="283"/>
              <w:jc w:val="left"/>
              <w:rPr/>
            </w:pPr>
            <w:r>
              <w:rPr/>
              <w:t> </w:t>
            </w:r>
          </w:p>
        </w:tc>
      </w:tr>
      <w:tr>
        <w:trPr/>
        <w:tc>
          <w:tcPr>
            <w:tcW w:w="22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64" w:type="dxa"/>
            <w:gridSpan w:val="6"/>
            <w:tcBorders/>
            <w:vAlign w:val="bottom"/>
          </w:tcPr>
          <w:p>
            <w:pPr>
              <w:pStyle w:val="TableContents"/>
              <w:bidi w:val="0"/>
              <w:spacing w:before="0" w:after="0"/>
              <w:jc w:val="center"/>
              <w:rPr>
                <w:b/>
                <w:color w:val="000000"/>
              </w:rPr>
            </w:pPr>
            <w:r>
              <w:rPr>
                <w:b/>
                <w:color w:val="000000"/>
              </w:rPr>
              <w:t>(in thousands)</w:t>
            </w:r>
          </w:p>
        </w:tc>
        <w:tc>
          <w:tcPr>
            <w:tcW w:w="60" w:type="dxa"/>
            <w:tcBorders/>
            <w:vAlign w:val="bottom"/>
          </w:tcPr>
          <w:p>
            <w:pPr>
              <w:pStyle w:val="TableContents"/>
              <w:bidi w:val="0"/>
              <w:spacing w:before="0" w:after="283"/>
              <w:jc w:val="left"/>
              <w:rPr/>
            </w:pPr>
            <w:r>
              <w:rPr/>
              <w:t> </w:t>
            </w:r>
          </w:p>
        </w:tc>
      </w:tr>
      <w:tr>
        <w:trPr/>
        <w:tc>
          <w:tcPr>
            <w:tcW w:w="2225" w:type="dxa"/>
            <w:tcBorders/>
            <w:shd w:fill="CCEEFF" w:val="clear"/>
            <w:vAlign w:val="bottom"/>
          </w:tcPr>
          <w:p>
            <w:pPr>
              <w:pStyle w:val="TableContents"/>
              <w:bidi w:val="0"/>
              <w:spacing w:before="0" w:after="0"/>
              <w:jc w:val="both"/>
              <w:rPr>
                <w:color w:val="000000"/>
              </w:rPr>
            </w:pPr>
            <w:r>
              <w:rPr>
                <w:color w:val="000000"/>
              </w:rPr>
              <w:t>Series Seed-1 preferred</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0"/>
              <w:jc w:val="right"/>
              <w:rPr>
                <w:color w:val="000000"/>
              </w:rPr>
            </w:pPr>
            <w:r>
              <w:rPr>
                <w:color w:val="000000"/>
              </w:rPr>
              <w:t>3,360,000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0"/>
              <w:jc w:val="right"/>
              <w:rPr>
                <w:color w:val="000000"/>
              </w:rPr>
            </w:pPr>
            <w:r>
              <w:rPr>
                <w:color w:val="000000"/>
              </w:rPr>
              <w:t>3,360,000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0"/>
              <w:jc w:val="left"/>
              <w:rPr>
                <w:color w:val="000000"/>
              </w:rPr>
            </w:pPr>
            <w:r>
              <w:rPr>
                <w:color w:val="000000"/>
              </w:rPr>
              <w:t>$</w:t>
            </w:r>
          </w:p>
        </w:tc>
        <w:tc>
          <w:tcPr>
            <w:tcW w:w="1051" w:type="dxa"/>
            <w:tcBorders/>
            <w:shd w:fill="CCEEFF" w:val="clear"/>
            <w:vAlign w:val="bottom"/>
          </w:tcPr>
          <w:p>
            <w:pPr>
              <w:pStyle w:val="TableContents"/>
              <w:bidi w:val="0"/>
              <w:spacing w:before="0" w:after="0"/>
              <w:jc w:val="right"/>
              <w:rPr>
                <w:color w:val="000000"/>
              </w:rPr>
            </w:pPr>
            <w:r>
              <w:rPr>
                <w:color w:val="000000"/>
              </w:rPr>
              <w:t>0.23810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0"/>
              <w:jc w:val="left"/>
              <w:rPr>
                <w:color w:val="000000"/>
              </w:rPr>
            </w:pPr>
            <w:r>
              <w:rPr>
                <w:color w:val="000000"/>
              </w:rPr>
              <w:t>$</w:t>
            </w:r>
          </w:p>
        </w:tc>
        <w:tc>
          <w:tcPr>
            <w:tcW w:w="1085" w:type="dxa"/>
            <w:tcBorders/>
            <w:shd w:fill="CCEEFF" w:val="clear"/>
            <w:vAlign w:val="bottom"/>
          </w:tcPr>
          <w:p>
            <w:pPr>
              <w:pStyle w:val="TableContents"/>
              <w:bidi w:val="0"/>
              <w:spacing w:before="0" w:after="0"/>
              <w:jc w:val="right"/>
              <w:rPr>
                <w:color w:val="000000"/>
              </w:rPr>
            </w:pPr>
            <w:r>
              <w:rPr>
                <w:color w:val="000000"/>
              </w:rPr>
              <w:t>800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5" w:type="dxa"/>
            <w:tcBorders/>
            <w:shd w:fill="CCEEFF" w:val="clear"/>
            <w:vAlign w:val="bottom"/>
          </w:tcPr>
          <w:p>
            <w:pPr>
              <w:pStyle w:val="TableContents"/>
              <w:bidi w:val="0"/>
              <w:spacing w:before="0" w:after="0"/>
              <w:jc w:val="left"/>
              <w:rPr>
                <w:color w:val="000000"/>
              </w:rPr>
            </w:pPr>
            <w:r>
              <w:rPr>
                <w:color w:val="000000"/>
              </w:rPr>
              <w:t>$</w:t>
            </w:r>
          </w:p>
        </w:tc>
        <w:tc>
          <w:tcPr>
            <w:tcW w:w="1229" w:type="dxa"/>
            <w:tcBorders/>
            <w:shd w:fill="CCEEFF" w:val="clear"/>
            <w:vAlign w:val="bottom"/>
          </w:tcPr>
          <w:p>
            <w:pPr>
              <w:pStyle w:val="TableContents"/>
              <w:bidi w:val="0"/>
              <w:spacing w:before="0" w:after="0"/>
              <w:jc w:val="right"/>
              <w:rPr>
                <w:color w:val="000000"/>
              </w:rPr>
            </w:pPr>
            <w:r>
              <w:rPr>
                <w:color w:val="000000"/>
              </w:rPr>
              <w:t>800</w:t>
            </w:r>
          </w:p>
        </w:tc>
        <w:tc>
          <w:tcPr>
            <w:tcW w:w="60" w:type="dxa"/>
            <w:tcBorders/>
            <w:shd w:fill="CCEEFF" w:val="clear"/>
            <w:vAlign w:val="bottom"/>
          </w:tcPr>
          <w:p>
            <w:pPr>
              <w:pStyle w:val="TableContents"/>
              <w:bidi w:val="0"/>
              <w:spacing w:before="0" w:after="283"/>
              <w:jc w:val="left"/>
              <w:rPr/>
            </w:pPr>
            <w:r>
              <w:rPr/>
              <w:t> </w:t>
            </w:r>
          </w:p>
        </w:tc>
      </w:tr>
      <w:tr>
        <w:trPr/>
        <w:tc>
          <w:tcPr>
            <w:tcW w:w="2225" w:type="dxa"/>
            <w:tcBorders/>
            <w:vAlign w:val="bottom"/>
          </w:tcPr>
          <w:p>
            <w:pPr>
              <w:pStyle w:val="TableContents"/>
              <w:bidi w:val="0"/>
              <w:spacing w:before="0" w:after="0"/>
              <w:jc w:val="both"/>
              <w:rPr>
                <w:color w:val="000000"/>
              </w:rPr>
            </w:pPr>
            <w:r>
              <w:rPr>
                <w:color w:val="000000"/>
              </w:rPr>
              <w:t>Series Seed-2 preferred</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0"/>
              <w:jc w:val="right"/>
              <w:rPr>
                <w:color w:val="000000"/>
              </w:rPr>
            </w:pPr>
            <w:r>
              <w:rPr>
                <w:color w:val="000000"/>
              </w:rPr>
              <w:t>9,092,395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0"/>
              <w:jc w:val="right"/>
              <w:rPr>
                <w:color w:val="000000"/>
              </w:rPr>
            </w:pPr>
            <w:r>
              <w:rPr>
                <w:color w:val="000000"/>
              </w:rPr>
              <w:t>9,092,395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0"/>
              <w:jc w:val="left"/>
              <w:rPr>
                <w:color w:val="000000"/>
              </w:rPr>
            </w:pPr>
            <w:r>
              <w:rPr>
                <w:color w:val="000000"/>
              </w:rPr>
              <w:t>$</w:t>
            </w:r>
          </w:p>
        </w:tc>
        <w:tc>
          <w:tcPr>
            <w:tcW w:w="1051" w:type="dxa"/>
            <w:tcBorders/>
            <w:vAlign w:val="bottom"/>
          </w:tcPr>
          <w:p>
            <w:pPr>
              <w:pStyle w:val="TableContents"/>
              <w:bidi w:val="0"/>
              <w:spacing w:before="0" w:after="0"/>
              <w:jc w:val="right"/>
              <w:rPr>
                <w:color w:val="000000"/>
              </w:rPr>
            </w:pPr>
            <w:r>
              <w:rPr>
                <w:color w:val="000000"/>
              </w:rPr>
              <w:t>0.61051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0"/>
              <w:jc w:val="right"/>
              <w:rPr>
                <w:color w:val="000000"/>
              </w:rPr>
            </w:pPr>
            <w:r>
              <w:rPr>
                <w:color w:val="000000"/>
              </w:rPr>
              <w:t>5,551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5"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0"/>
              <w:jc w:val="right"/>
              <w:rPr>
                <w:color w:val="000000"/>
              </w:rPr>
            </w:pPr>
            <w:r>
              <w:rPr>
                <w:color w:val="000000"/>
              </w:rPr>
              <w:t>5,551</w:t>
            </w:r>
          </w:p>
        </w:tc>
        <w:tc>
          <w:tcPr>
            <w:tcW w:w="60" w:type="dxa"/>
            <w:tcBorders/>
            <w:vAlign w:val="bottom"/>
          </w:tcPr>
          <w:p>
            <w:pPr>
              <w:pStyle w:val="TableContents"/>
              <w:bidi w:val="0"/>
              <w:spacing w:before="0" w:after="283"/>
              <w:jc w:val="left"/>
              <w:rPr/>
            </w:pPr>
            <w:r>
              <w:rPr/>
              <w:t> </w:t>
            </w:r>
          </w:p>
        </w:tc>
      </w:tr>
      <w:tr>
        <w:trPr/>
        <w:tc>
          <w:tcPr>
            <w:tcW w:w="2225" w:type="dxa"/>
            <w:tcBorders/>
            <w:shd w:fill="CCEEFF" w:val="clear"/>
            <w:vAlign w:val="bottom"/>
          </w:tcPr>
          <w:p>
            <w:pPr>
              <w:pStyle w:val="TableContents"/>
              <w:bidi w:val="0"/>
              <w:spacing w:before="0" w:after="0"/>
              <w:jc w:val="both"/>
              <w:rPr>
                <w:color w:val="000000"/>
              </w:rPr>
            </w:pPr>
            <w:r>
              <w:rPr>
                <w:color w:val="000000"/>
              </w:rPr>
              <w:t>Series A preferred</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0"/>
              <w:jc w:val="right"/>
              <w:rPr>
                <w:color w:val="000000"/>
              </w:rPr>
            </w:pPr>
            <w:r>
              <w:rPr>
                <w:color w:val="000000"/>
              </w:rPr>
              <w:t>22,660,320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0"/>
              <w:jc w:val="right"/>
              <w:rPr>
                <w:color w:val="000000"/>
              </w:rPr>
            </w:pPr>
            <w:r>
              <w:rPr>
                <w:color w:val="000000"/>
              </w:rPr>
              <w:t>22,660,320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0"/>
              <w:jc w:val="left"/>
              <w:rPr>
                <w:color w:val="000000"/>
              </w:rPr>
            </w:pPr>
            <w:r>
              <w:rPr>
                <w:color w:val="000000"/>
              </w:rPr>
              <w:t>$</w:t>
            </w:r>
          </w:p>
        </w:tc>
        <w:tc>
          <w:tcPr>
            <w:tcW w:w="1051" w:type="dxa"/>
            <w:tcBorders/>
            <w:shd w:fill="CCEEFF" w:val="clear"/>
            <w:vAlign w:val="bottom"/>
          </w:tcPr>
          <w:p>
            <w:pPr>
              <w:pStyle w:val="TableContents"/>
              <w:bidi w:val="0"/>
              <w:spacing w:before="0" w:after="0"/>
              <w:jc w:val="right"/>
              <w:rPr>
                <w:color w:val="000000"/>
              </w:rPr>
            </w:pPr>
            <w:r>
              <w:rPr>
                <w:color w:val="000000"/>
              </w:rPr>
              <w:t>3.07255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0"/>
              <w:jc w:val="right"/>
              <w:rPr>
                <w:color w:val="000000"/>
              </w:rPr>
            </w:pPr>
            <w:r>
              <w:rPr>
                <w:color w:val="000000"/>
              </w:rPr>
              <w:t>69,625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5"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0"/>
              <w:jc w:val="right"/>
              <w:rPr>
                <w:color w:val="000000"/>
              </w:rPr>
            </w:pPr>
            <w:r>
              <w:rPr>
                <w:color w:val="000000"/>
              </w:rPr>
              <w:t>69,518</w:t>
            </w:r>
          </w:p>
        </w:tc>
        <w:tc>
          <w:tcPr>
            <w:tcW w:w="60" w:type="dxa"/>
            <w:tcBorders/>
            <w:shd w:fill="CCEEFF" w:val="clear"/>
            <w:vAlign w:val="bottom"/>
          </w:tcPr>
          <w:p>
            <w:pPr>
              <w:pStyle w:val="TableContents"/>
              <w:bidi w:val="0"/>
              <w:spacing w:before="0" w:after="283"/>
              <w:jc w:val="left"/>
              <w:rPr/>
            </w:pPr>
            <w:r>
              <w:rPr/>
              <w:t> </w:t>
            </w:r>
          </w:p>
        </w:tc>
      </w:tr>
      <w:tr>
        <w:trPr/>
        <w:tc>
          <w:tcPr>
            <w:tcW w:w="2225" w:type="dxa"/>
            <w:tcBorders/>
            <w:vAlign w:val="bottom"/>
          </w:tcPr>
          <w:p>
            <w:pPr>
              <w:pStyle w:val="TableContents"/>
              <w:bidi w:val="0"/>
              <w:spacing w:before="0" w:after="0"/>
              <w:jc w:val="both"/>
              <w:rPr>
                <w:color w:val="000000"/>
              </w:rPr>
            </w:pPr>
            <w:r>
              <w:rPr>
                <w:color w:val="000000"/>
              </w:rPr>
              <w:t>Series B preferred</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0"/>
              <w:jc w:val="right"/>
              <w:rPr>
                <w:color w:val="000000"/>
              </w:rPr>
            </w:pPr>
            <w:r>
              <w:rPr>
                <w:color w:val="000000"/>
              </w:rPr>
              <w:t>36,207,457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0"/>
              <w:jc w:val="right"/>
              <w:rPr>
                <w:color w:val="000000"/>
              </w:rPr>
            </w:pPr>
            <w:r>
              <w:rPr>
                <w:color w:val="000000"/>
              </w:rPr>
              <w:t>36,207,457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0"/>
              <w:jc w:val="left"/>
              <w:rPr>
                <w:color w:val="000000"/>
              </w:rPr>
            </w:pPr>
            <w:r>
              <w:rPr>
                <w:color w:val="000000"/>
              </w:rPr>
              <w:t>$</w:t>
            </w:r>
          </w:p>
        </w:tc>
        <w:tc>
          <w:tcPr>
            <w:tcW w:w="1051" w:type="dxa"/>
            <w:tcBorders/>
            <w:vAlign w:val="bottom"/>
          </w:tcPr>
          <w:p>
            <w:pPr>
              <w:pStyle w:val="TableContents"/>
              <w:bidi w:val="0"/>
              <w:spacing w:before="0" w:after="0"/>
              <w:jc w:val="right"/>
              <w:rPr>
                <w:color w:val="000000"/>
              </w:rPr>
            </w:pPr>
            <w:r>
              <w:rPr>
                <w:color w:val="000000"/>
              </w:rPr>
              <w:t>4.55707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0"/>
              <w:jc w:val="right"/>
              <w:rPr>
                <w:color w:val="000000"/>
              </w:rPr>
            </w:pPr>
            <w:r>
              <w:rPr>
                <w:color w:val="000000"/>
              </w:rPr>
              <w:t>165,000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5"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0"/>
              <w:jc w:val="right"/>
              <w:rPr>
                <w:color w:val="000000"/>
              </w:rPr>
            </w:pPr>
            <w:r>
              <w:rPr>
                <w:color w:val="000000"/>
              </w:rPr>
              <w:t>164,659</w:t>
            </w:r>
          </w:p>
        </w:tc>
        <w:tc>
          <w:tcPr>
            <w:tcW w:w="60" w:type="dxa"/>
            <w:tcBorders/>
            <w:vAlign w:val="bottom"/>
          </w:tcPr>
          <w:p>
            <w:pPr>
              <w:pStyle w:val="TableContents"/>
              <w:bidi w:val="0"/>
              <w:spacing w:before="0" w:after="283"/>
              <w:jc w:val="left"/>
              <w:rPr/>
            </w:pPr>
            <w:r>
              <w:rPr/>
              <w:t> </w:t>
            </w:r>
          </w:p>
        </w:tc>
      </w:tr>
      <w:tr>
        <w:trPr/>
        <w:tc>
          <w:tcPr>
            <w:tcW w:w="2225" w:type="dxa"/>
            <w:tcBorders/>
            <w:shd w:fill="CCEEFF" w:val="clear"/>
            <w:vAlign w:val="bottom"/>
          </w:tcPr>
          <w:p>
            <w:pPr>
              <w:pStyle w:val="TableContents"/>
              <w:bidi w:val="0"/>
              <w:spacing w:before="0" w:after="0"/>
              <w:jc w:val="both"/>
              <w:rPr>
                <w:color w:val="000000"/>
              </w:rPr>
            </w:pPr>
            <w:r>
              <w:rPr>
                <w:color w:val="000000"/>
              </w:rPr>
              <w:t>Series C preferred</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0"/>
              <w:jc w:val="right"/>
              <w:rPr>
                <w:color w:val="000000"/>
              </w:rPr>
            </w:pPr>
            <w:r>
              <w:rPr>
                <w:color w:val="000000"/>
              </w:rPr>
              <w:t>40,826,799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0"/>
              <w:jc w:val="right"/>
              <w:rPr>
                <w:color w:val="000000"/>
              </w:rPr>
            </w:pPr>
            <w:r>
              <w:rPr>
                <w:color w:val="000000"/>
              </w:rPr>
              <w:t>40,826,799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0"/>
              <w:jc w:val="left"/>
              <w:rPr>
                <w:color w:val="000000"/>
              </w:rPr>
            </w:pPr>
            <w:r>
              <w:rPr>
                <w:color w:val="000000"/>
              </w:rPr>
              <w:t>$</w:t>
            </w:r>
          </w:p>
        </w:tc>
        <w:tc>
          <w:tcPr>
            <w:tcW w:w="1051" w:type="dxa"/>
            <w:tcBorders/>
            <w:shd w:fill="CCEEFF" w:val="clear"/>
            <w:vAlign w:val="bottom"/>
          </w:tcPr>
          <w:p>
            <w:pPr>
              <w:pStyle w:val="TableContents"/>
              <w:bidi w:val="0"/>
              <w:spacing w:before="0" w:after="0"/>
              <w:jc w:val="right"/>
              <w:rPr>
                <w:color w:val="000000"/>
              </w:rPr>
            </w:pPr>
            <w:r>
              <w:rPr>
                <w:color w:val="000000"/>
              </w:rPr>
              <w:t>6.61330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0"/>
              <w:jc w:val="right"/>
              <w:rPr>
                <w:color w:val="000000"/>
              </w:rPr>
            </w:pPr>
            <w:r>
              <w:rPr>
                <w:color w:val="000000"/>
              </w:rPr>
              <w:t>270,000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5"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0"/>
              <w:jc w:val="right"/>
              <w:rPr>
                <w:color w:val="000000"/>
              </w:rPr>
            </w:pPr>
            <w:r>
              <w:rPr>
                <w:color w:val="000000"/>
              </w:rPr>
              <w:t>269,679</w:t>
            </w:r>
          </w:p>
        </w:tc>
        <w:tc>
          <w:tcPr>
            <w:tcW w:w="60" w:type="dxa"/>
            <w:tcBorders/>
            <w:shd w:fill="CCEEFF" w:val="clear"/>
            <w:vAlign w:val="bottom"/>
          </w:tcPr>
          <w:p>
            <w:pPr>
              <w:pStyle w:val="TableContents"/>
              <w:bidi w:val="0"/>
              <w:spacing w:before="0" w:after="283"/>
              <w:jc w:val="left"/>
              <w:rPr/>
            </w:pPr>
            <w:r>
              <w:rPr/>
              <w:t> </w:t>
            </w:r>
          </w:p>
        </w:tc>
      </w:tr>
      <w:tr>
        <w:trPr/>
        <w:tc>
          <w:tcPr>
            <w:tcW w:w="2225" w:type="dxa"/>
            <w:tcBorders/>
            <w:vAlign w:val="bottom"/>
          </w:tcPr>
          <w:p>
            <w:pPr>
              <w:pStyle w:val="TableContents"/>
              <w:bidi w:val="0"/>
              <w:spacing w:before="0" w:after="0"/>
              <w:jc w:val="both"/>
              <w:rPr>
                <w:color w:val="000000"/>
              </w:rPr>
            </w:pPr>
            <w:r>
              <w:rPr>
                <w:color w:val="000000"/>
              </w:rPr>
              <w:t>Series D preferred</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0"/>
              <w:jc w:val="right"/>
              <w:rPr>
                <w:color w:val="000000"/>
              </w:rPr>
            </w:pPr>
            <w:r>
              <w:rPr>
                <w:color w:val="000000"/>
              </w:rPr>
              <w:t>39,775,664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40" w:type="dxa"/>
            <w:tcBorders/>
            <w:vAlign w:val="bottom"/>
          </w:tcPr>
          <w:p>
            <w:pPr>
              <w:pStyle w:val="TableContents"/>
              <w:bidi w:val="0"/>
              <w:spacing w:before="0" w:after="0"/>
              <w:jc w:val="right"/>
              <w:rPr>
                <w:color w:val="000000"/>
              </w:rPr>
            </w:pPr>
            <w:r>
              <w:rPr>
                <w:color w:val="000000"/>
              </w:rPr>
              <w:t>39,775,644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0"/>
              <w:jc w:val="left"/>
              <w:rPr>
                <w:color w:val="000000"/>
              </w:rPr>
            </w:pPr>
            <w:r>
              <w:rPr>
                <w:color w:val="000000"/>
              </w:rPr>
              <w:t>$</w:t>
            </w:r>
          </w:p>
        </w:tc>
        <w:tc>
          <w:tcPr>
            <w:tcW w:w="1051" w:type="dxa"/>
            <w:tcBorders/>
            <w:vAlign w:val="bottom"/>
          </w:tcPr>
          <w:p>
            <w:pPr>
              <w:pStyle w:val="TableContents"/>
              <w:bidi w:val="0"/>
              <w:spacing w:before="0" w:after="0"/>
              <w:jc w:val="right"/>
              <w:rPr>
                <w:color w:val="000000"/>
              </w:rPr>
            </w:pPr>
            <w:r>
              <w:rPr>
                <w:color w:val="000000"/>
              </w:rPr>
              <w:t>7.52334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0"/>
              <w:jc w:val="right"/>
              <w:rPr>
                <w:color w:val="000000"/>
              </w:rPr>
            </w:pPr>
            <w:r>
              <w:rPr>
                <w:color w:val="000000"/>
              </w:rPr>
              <w:t>299,246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5"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0"/>
              <w:jc w:val="right"/>
              <w:rPr>
                <w:color w:val="000000"/>
              </w:rPr>
            </w:pPr>
            <w:r>
              <w:rPr>
                <w:color w:val="000000"/>
              </w:rPr>
              <w:t>299,151</w:t>
            </w:r>
          </w:p>
        </w:tc>
        <w:tc>
          <w:tcPr>
            <w:tcW w:w="60" w:type="dxa"/>
            <w:tcBorders/>
            <w:vAlign w:val="bottom"/>
          </w:tcPr>
          <w:p>
            <w:pPr>
              <w:pStyle w:val="TableContents"/>
              <w:bidi w:val="0"/>
              <w:spacing w:before="0" w:after="283"/>
              <w:jc w:val="left"/>
              <w:rPr/>
            </w:pPr>
            <w:r>
              <w:rPr/>
              <w:t> </w:t>
            </w:r>
          </w:p>
        </w:tc>
      </w:tr>
      <w:tr>
        <w:trPr/>
        <w:tc>
          <w:tcPr>
            <w:tcW w:w="2225" w:type="dxa"/>
            <w:tcBorders/>
            <w:shd w:fill="CCEEFF" w:val="clear"/>
            <w:vAlign w:val="bottom"/>
          </w:tcPr>
          <w:p>
            <w:pPr>
              <w:pStyle w:val="TableContents"/>
              <w:bidi w:val="0"/>
              <w:spacing w:before="0" w:after="0"/>
              <w:jc w:val="both"/>
              <w:rPr>
                <w:color w:val="000000"/>
              </w:rPr>
            </w:pPr>
            <w:r>
              <w:rPr>
                <w:color w:val="000000"/>
              </w:rPr>
              <w:t>Series E preferred</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0"/>
              <w:jc w:val="right"/>
              <w:rPr>
                <w:color w:val="000000"/>
              </w:rPr>
            </w:pPr>
            <w:r>
              <w:rPr>
                <w:color w:val="000000"/>
              </w:rPr>
              <w:t>25,284,991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40" w:type="dxa"/>
            <w:tcBorders/>
            <w:shd w:fill="CCEEFF" w:val="clear"/>
            <w:vAlign w:val="bottom"/>
          </w:tcPr>
          <w:p>
            <w:pPr>
              <w:pStyle w:val="TableContents"/>
              <w:bidi w:val="0"/>
              <w:spacing w:before="0" w:after="0"/>
              <w:jc w:val="right"/>
              <w:rPr>
                <w:color w:val="000000"/>
              </w:rPr>
            </w:pPr>
            <w:r>
              <w:rPr>
                <w:color w:val="000000"/>
              </w:rPr>
              <w:t>24,942,143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0"/>
              <w:jc w:val="left"/>
              <w:rPr>
                <w:color w:val="000000"/>
              </w:rPr>
            </w:pPr>
            <w:r>
              <w:rPr>
                <w:color w:val="000000"/>
              </w:rPr>
              <w:t>$</w:t>
            </w:r>
          </w:p>
        </w:tc>
        <w:tc>
          <w:tcPr>
            <w:tcW w:w="1051" w:type="dxa"/>
            <w:tcBorders/>
            <w:shd w:fill="CCEEFF" w:val="clear"/>
            <w:vAlign w:val="bottom"/>
          </w:tcPr>
          <w:p>
            <w:pPr>
              <w:pStyle w:val="TableContents"/>
              <w:bidi w:val="0"/>
              <w:spacing w:before="0" w:after="0"/>
              <w:jc w:val="right"/>
              <w:rPr>
                <w:color w:val="000000"/>
              </w:rPr>
            </w:pPr>
            <w:r>
              <w:rPr>
                <w:color w:val="000000"/>
              </w:rPr>
              <w:t>11.10351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0"/>
              <w:jc w:val="right"/>
              <w:rPr>
                <w:color w:val="000000"/>
              </w:rPr>
            </w:pPr>
            <w:r>
              <w:rPr>
                <w:color w:val="000000"/>
              </w:rPr>
              <w:t>276,945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5"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0"/>
              <w:jc w:val="right"/>
              <w:rPr>
                <w:color w:val="000000"/>
              </w:rPr>
            </w:pPr>
            <w:r>
              <w:rPr>
                <w:color w:val="000000"/>
              </w:rPr>
              <w:t>290,567</w:t>
            </w:r>
          </w:p>
        </w:tc>
        <w:tc>
          <w:tcPr>
            <w:tcW w:w="60" w:type="dxa"/>
            <w:tcBorders/>
            <w:shd w:fill="CCEEFF" w:val="clear"/>
            <w:vAlign w:val="bottom"/>
          </w:tcPr>
          <w:p>
            <w:pPr>
              <w:pStyle w:val="TableContents"/>
              <w:bidi w:val="0"/>
              <w:spacing w:before="0" w:after="283"/>
              <w:jc w:val="left"/>
              <w:rPr/>
            </w:pPr>
            <w:r>
              <w:rPr/>
              <w:t> </w:t>
            </w:r>
          </w:p>
        </w:tc>
      </w:tr>
      <w:tr>
        <w:trPr/>
        <w:tc>
          <w:tcPr>
            <w:tcW w:w="2225" w:type="dxa"/>
            <w:tcBorders/>
            <w:vAlign w:val="bottom"/>
          </w:tcPr>
          <w:p>
            <w:pPr>
              <w:pStyle w:val="TableContents"/>
              <w:bidi w:val="0"/>
              <w:spacing w:before="0" w:after="0"/>
              <w:jc w:val="both"/>
              <w:rPr>
                <w:color w:val="000000"/>
              </w:rPr>
            </w:pPr>
            <w:r>
              <w:rPr>
                <w:color w:val="000000"/>
              </w:rPr>
              <w:t>Series F preferred</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36,493,093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4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35,677,074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0"/>
              <w:jc w:val="left"/>
              <w:rPr>
                <w:color w:val="000000"/>
              </w:rPr>
            </w:pPr>
            <w:r>
              <w:rPr>
                <w:color w:val="000000"/>
              </w:rPr>
              <w:t>$</w:t>
            </w:r>
          </w:p>
        </w:tc>
        <w:tc>
          <w:tcPr>
            <w:tcW w:w="1051" w:type="dxa"/>
            <w:tcBorders/>
            <w:vAlign w:val="bottom"/>
          </w:tcPr>
          <w:p>
            <w:pPr>
              <w:pStyle w:val="TableContents"/>
              <w:bidi w:val="0"/>
              <w:spacing w:before="0" w:after="0"/>
              <w:jc w:val="right"/>
              <w:rPr>
                <w:color w:val="000000"/>
              </w:rPr>
            </w:pPr>
            <w:r>
              <w:rPr>
                <w:color w:val="000000"/>
              </w:rPr>
              <w:t>7.39866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8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263,963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5"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263,655</w:t>
            </w:r>
          </w:p>
        </w:tc>
        <w:tc>
          <w:tcPr>
            <w:tcW w:w="60" w:type="dxa"/>
            <w:tcBorders/>
            <w:vAlign w:val="bottom"/>
          </w:tcPr>
          <w:p>
            <w:pPr>
              <w:pStyle w:val="TableContents"/>
              <w:bidi w:val="0"/>
              <w:spacing w:before="0" w:after="283"/>
              <w:jc w:val="left"/>
              <w:rPr/>
            </w:pPr>
            <w:r>
              <w:rPr/>
              <w:t> </w:t>
            </w:r>
          </w:p>
        </w:tc>
      </w:tr>
      <w:tr>
        <w:trPr/>
        <w:tc>
          <w:tcPr>
            <w:tcW w:w="2225" w:type="dxa"/>
            <w:tcBorders/>
            <w:shd w:fill="CCEEFF" w:val="clear"/>
            <w:vAlign w:val="bottom"/>
          </w:tcPr>
          <w:p>
            <w:pPr>
              <w:pStyle w:val="TableContents"/>
              <w:bidi w:val="0"/>
              <w:spacing w:before="0" w:after="0"/>
              <w:ind w:left="180" w:right="0" w:hanging="0"/>
              <w:jc w:val="left"/>
              <w:rPr>
                <w:color w:val="000000"/>
              </w:rPr>
            </w:pPr>
            <w:r>
              <w:rPr>
                <w:color w:val="000000"/>
              </w:rPr>
              <w:t>Total</w:t>
            </w:r>
          </w:p>
        </w:tc>
        <w:tc>
          <w:tcPr>
            <w:tcW w:w="60" w:type="dxa"/>
            <w:tcBorders/>
            <w:shd w:fill="CCEEFF" w:val="clear"/>
            <w:vAlign w:val="bottom"/>
          </w:tcPr>
          <w:p>
            <w:pPr>
              <w:pStyle w:val="TableContents"/>
              <w:bidi w:val="0"/>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22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213,700,719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24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212,541,832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5"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8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1,351,130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5"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2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1,363,580</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Company evaluated the rights, preferences, and privileges of each series of convertible preferred stock and concluded that there were no freestanding derivative instruments or any embedded derivatives requiring bifurcation. As of June 30, 2026 the convertible preferred stock has the following rights, preferences, privileges, and restrictions: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7" w:name="z55e8dc78ac914dd8b6087a3775353586"/>
      <w:bookmarkStart w:id="88" w:name="z55e8dc78ac914dd8b6087a3775353586"/>
      <w:bookmarkEnd w:id="88"/>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left"/>
              <w:rPr>
                <w:color w:val="000000"/>
              </w:rPr>
            </w:pPr>
            <w:r>
              <w:rPr>
                <w:b/>
                <w:color w:val="000000"/>
              </w:rPr>
              <w:t xml:space="preserve">Dividends Rights </w:t>
            </w:r>
            <w:r>
              <w:rPr>
                <w:color w:val="000000"/>
              </w:rPr>
              <w:t>– The holders of shares of convertible preferred stock (the “preferred stockholders”) are entitled to receive non-cumulative dividends, as adjusted for stock splits, dividends, reclassifications or the like, prior and in preference to any declaration or payment of any dividends to the holders of shares of the Company’s common stock (“common stock,” and the holders of common stock, the “common stockholders”), when and if declared by the Company’s Board of Directors (the “Board”), at a rate of 6.0% of the applicable Original Issue Price (as defined) per annum on each outstanding share of convertible preferred stock. The Board has not declared any dividends to date.</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19</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89" w:name="z43999da37049430c8f26d4d70027b261"/>
      <w:bookmarkStart w:id="90" w:name="z43999da37049430c8f26d4d70027b261"/>
      <w:bookmarkEnd w:id="90"/>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left"/>
              <w:rPr>
                <w:color w:val="000000"/>
              </w:rPr>
            </w:pPr>
            <w:r>
              <w:rPr>
                <w:b/>
                <w:color w:val="000000"/>
              </w:rPr>
              <w:t>Voting Rights</w:t>
            </w:r>
            <w:r>
              <w:rPr>
                <w:color w:val="000000"/>
              </w:rPr>
              <w:t xml:space="preserve"> – The preferred stockholders are entitled to voting rights equal to the number of whole shares of common stock into which each share of convertible preferred stock could be converted. In addition, so long as at least 2,000,000 shares of Series A preferred stock are outstanding, the holders of shares of Series A preferred stock, voting together as a separate class, are entitled to elect one member of the Board. So long as at least 2,000,000 shares of Series B preferred stock are outstanding, the holders of shares of Series B preferred stock, voting together as a separate class, are entitled to elect one member of the Board. So long as at least 2,000,000 shares of Series C preferred stock are outstanding, the holders of shares of Series C preferred stock, voting together as a separate class, are entitled to elect one member of the Board. So long as at least 2,000,000 shares of Series E preferred stock are outstanding, the holders of shares of Series E preferred stock, voting together as a separate class, are entitled to elect two members of the Board. The common stockholders, voting exclusively and as a separate class, are entitled to elect one member of the Board. The preferred stockholders and the common stockholders, voting together as a single class on an as-converted basis, are entitled to elect any remaining members of the Board.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1" w:name="zf1c111f5395744d7853f9d53ad31aaeb"/>
      <w:bookmarkStart w:id="92" w:name="zf1c111f5395744d7853f9d53ad31aaeb"/>
      <w:bookmarkEnd w:id="92"/>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left"/>
              <w:rPr>
                <w:color w:val="000000"/>
              </w:rPr>
            </w:pPr>
            <w:r>
              <w:rPr>
                <w:b/>
                <w:color w:val="000000"/>
              </w:rPr>
              <w:t xml:space="preserve">Liquidation Rights </w:t>
            </w:r>
            <w:r>
              <w:rPr>
                <w:color w:val="000000"/>
              </w:rPr>
              <w:t>– In the event of any liquidation, dissolution or winding up of the Company, including certain mergers, consolidations, and asset sales, either voluntary or involuntary, the holders of shares of convertible preferred stock then outstanding, on a pari passu basis, are entitled to receive, prior to and in preference to the common stockholders, an amount equal to the greater of (i) the applicable Original Issue Price, plus declared but unpaid dividends, or (ii) such amount per share as would have been payable had all shares of convertible preferred stock been converted into shares of common stock, as adjusted for stock splits, dividends, reclassifications or the like. If, upon occurrence of such an event, the assets and funds distributed among the holders of shares of convertible preferred stock are insufficient to permit the above payment to such holders, then the assets and funds of the Company legally available for distribution to the holders of shares of convertible preferred stock will be distributed ratably among the holders in proportion to the preferential amount each such holder is otherwise entitled to receive. Following these payments, the remaining assets and surplus funds of the Company, if any, will be distributed ratably among the common stockholders based on the number of shares of common stock held.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3" w:name="ze5bb6f64aced4ad7be2c2c0d739b0d76"/>
      <w:bookmarkStart w:id="94" w:name="ze5bb6f64aced4ad7be2c2c0d739b0d76"/>
      <w:bookmarkEnd w:id="94"/>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left"/>
              <w:rPr>
                <w:color w:val="000000"/>
              </w:rPr>
            </w:pPr>
            <w:r>
              <w:rPr>
                <w:b/>
                <w:color w:val="000000"/>
              </w:rPr>
              <w:t>Redemption Rights</w:t>
            </w:r>
            <w:r>
              <w:rPr>
                <w:color w:val="000000"/>
              </w:rPr>
              <w:t xml:space="preserve"> – The convertible preferred stock is not redeemable by the preferred stockholders except in connection with a Deemed Liquidation Event (as defined) which does not include the dissolution of the Company.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5" w:name="zecb74837622a4dc4b33ac703886f63a2"/>
      <w:bookmarkStart w:id="96" w:name="zecb74837622a4dc4b33ac703886f63a2"/>
      <w:bookmarkEnd w:id="96"/>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left"/>
              <w:rPr>
                <w:color w:val="000000"/>
              </w:rPr>
            </w:pPr>
            <w:r>
              <w:rPr>
                <w:b/>
                <w:color w:val="000000"/>
              </w:rPr>
              <w:t>Conversion Rights</w:t>
            </w:r>
            <w:r>
              <w:rPr>
                <w:color w:val="000000"/>
              </w:rPr>
              <w:t xml:space="preserve"> – Each share of preferred stock is convertible at the option of the holder at any time after the date of issuance into the number of shares of common stock determined by dividing the Original Issue Price by the Conversion Price (as defined). The Conversion Price for each series of convertible preferred stock was initially equal to the Original Issue Price for such series, and as of June 30, 2026 each share of convertible preferred stock (other than for the Series D and E preferred stock) is convertible into one share of common stock. The issuance of the Series F preferred stock triggered the anti-dilution protection provision for the Series D and E preferred stock. As a result, the Conversion Price per share for each of the Series D and E preferred stock was adjusted from $7.54230 and $11.6670 to $7.52334 and $11.10351, respectively, and accordingly, each share of Series D and E preferred stock is convertible into 1.0025 and 1.0507 shares of common stock. Shares of convertible preferred stock automatically convert into shares of common stock upon the earlier of (i) the closing of a firm-commitment underwritten public offering pursuant to an effective registration statement under the Securities Act of 1933, as amended, of common stock where the gross proceeds to the Company are not less than $100.0 million, or (ii) the vote or written consent of the holders of at least a majority of the outstanding shares of convertible preferred stock voting together as a single class on an as-converted basis and the holders of at least a majority of the outstanding shares of Series C, D, E, and F preferred stock voting together as a single class on an as-converted basis.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7" w:name="zfea4e8fa55254a8ea28283309409d598"/>
      <w:bookmarkStart w:id="98" w:name="zfea4e8fa55254a8ea28283309409d598"/>
      <w:bookmarkEnd w:id="98"/>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left"/>
              <w:rPr>
                <w:color w:val="000000"/>
              </w:rPr>
            </w:pPr>
            <w:r>
              <w:rPr>
                <w:b/>
                <w:color w:val="000000"/>
              </w:rPr>
              <w:t>Registration Rights</w:t>
            </w:r>
            <w:r>
              <w:rPr>
                <w:color w:val="000000"/>
              </w:rPr>
              <w:t xml:space="preserve"> – The preferred stockholders have the right to request the Company to file certain registration statements with the Securities and Exchange Commission for the registration of shares related to the convertible preferred stock. The obligations of the Company regarding such registration rights include, but are not limited to, reasonable efforts to cause such registration statement to become effective, keep such registration statement effective for up to 120 days, prepare and file amendments and supplements to such registration statement and the prospectus used in connection with such registration statement, and notify each selling holder, promptly after the Company receives notice thereof, of the time when such registration statement has been declared effective or a supplement to any prospectus forming a part of such registration statement has been filed. The terms of the registration rights provide for the payment of certain expenses related to the registration of the shares, including a capped reimbursement of legal fees of a single special counsel for the preferred stockholders but do not impose any obligations for the Company to pay additional consideration to the holders in case a registration statement is not declared effective.</w:t>
            </w:r>
          </w:p>
        </w:tc>
      </w:tr>
    </w:tbl>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Note 11—Stock-Based Compensation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2016 Equity Incentive Plan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In May 2016, the Company adopted the 2016 Equity Incentive Plan, as amended (the ‘‘2016 Amended Plan’’). The Company’s employees, directors, officers, and consultants are eligible to receive awards under the 2016 Amended Plan. Under the 2016 Amended Plan, the Company may issue incentive stock options (‘‘ISOs’’), nonstatutory stock options, stock appreciation rights, restricted stock awards (‘‘RSAs’’), restricted stock unit awards (‘‘RSUs’’), and other stock awards. As of June 30, 2026, a total of 11.3 million shares of common stock were available for future issuance under the 2016 Amended Plan.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20</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following table summarizes the Company’s stock option activity for the six months ended June 30, 2026:</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9" w:name="z6109c8b4a7a74880ad3e7fa5856db447"/>
      <w:bookmarkStart w:id="100" w:name="z6109c8b4a7a74880ad3e7fa5856db447"/>
      <w:bookmarkEnd w:id="100"/>
    </w:p>
    <w:tbl>
      <w:tblPr>
        <w:tblW w:w="6772" w:type="dxa"/>
        <w:jc w:val="left"/>
        <w:tblInd w:w="0" w:type="dxa"/>
        <w:tblLayout w:type="fixed"/>
        <w:tblCellMar>
          <w:top w:w="0" w:type="dxa"/>
          <w:left w:w="0" w:type="dxa"/>
          <w:bottom w:w="0" w:type="dxa"/>
          <w:right w:w="0" w:type="dxa"/>
        </w:tblCellMar>
      </w:tblPr>
      <w:tblGrid>
        <w:gridCol w:w="3352"/>
        <w:gridCol w:w="60"/>
        <w:gridCol w:w="60"/>
        <w:gridCol w:w="1100"/>
        <w:gridCol w:w="95"/>
        <w:gridCol w:w="60"/>
        <w:gridCol w:w="479"/>
        <w:gridCol w:w="1506"/>
        <w:gridCol w:w="60"/>
      </w:tblGrid>
      <w:tr>
        <w:trPr/>
        <w:tc>
          <w:tcPr>
            <w:tcW w:w="33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bottom"/>
          </w:tcPr>
          <w:p>
            <w:pPr>
              <w:pStyle w:val="TableContents"/>
              <w:bidi w:val="0"/>
              <w:spacing w:before="0" w:after="0"/>
              <w:ind w:left="0" w:right="0" w:firstLine="20"/>
              <w:jc w:val="center"/>
              <w:rPr>
                <w:b/>
                <w:color w:val="000000"/>
              </w:rPr>
            </w:pPr>
            <w:r>
              <w:rPr>
                <w:b/>
                <w:color w:val="000000"/>
              </w:rPr>
              <w:t>Number of</w:t>
            </w:r>
          </w:p>
          <w:p>
            <w:pPr>
              <w:pStyle w:val="TableContents"/>
              <w:bidi w:val="0"/>
              <w:spacing w:before="0" w:after="0"/>
              <w:ind w:left="0" w:right="0" w:firstLine="20"/>
              <w:jc w:val="center"/>
              <w:rPr>
                <w:b/>
                <w:color w:val="000000"/>
              </w:rPr>
            </w:pPr>
            <w:r>
              <w:rPr>
                <w:b/>
                <w:color w:val="000000"/>
              </w:rPr>
              <w:t>Options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5" w:type="dxa"/>
            <w:gridSpan w:val="2"/>
            <w:tcBorders>
              <w:bottom w:val="single" w:sz="12" w:space="0" w:color="000000"/>
            </w:tcBorders>
            <w:tcMar>
              <w:bottom w:w="28" w:type="dxa"/>
            </w:tcMar>
            <w:vAlign w:val="bottom"/>
          </w:tcPr>
          <w:p>
            <w:pPr>
              <w:pStyle w:val="TableContents"/>
              <w:bidi w:val="0"/>
              <w:spacing w:before="0" w:after="0"/>
              <w:ind w:left="0" w:right="0" w:firstLine="60"/>
              <w:jc w:val="center"/>
              <w:rPr>
                <w:b/>
                <w:color w:val="000000"/>
              </w:rPr>
            </w:pPr>
            <w:r>
              <w:rPr>
                <w:b/>
                <w:color w:val="000000"/>
              </w:rPr>
              <w:t>Weighted-Average</w:t>
            </w:r>
          </w:p>
          <w:p>
            <w:pPr>
              <w:pStyle w:val="TableContents"/>
              <w:bidi w:val="0"/>
              <w:spacing w:lineRule="auto" w:line="240" w:before="0" w:after="0"/>
              <w:ind w:left="0" w:right="0" w:firstLine="60"/>
              <w:jc w:val="center"/>
              <w:rPr>
                <w:b/>
                <w:color w:val="000000"/>
              </w:rPr>
            </w:pPr>
            <w:r>
              <w:rPr>
                <w:b/>
                <w:color w:val="000000"/>
              </w:rPr>
              <w:t>Exercise Price (3)</w:t>
            </w:r>
          </w:p>
        </w:tc>
        <w:tc>
          <w:tcPr>
            <w:tcW w:w="60" w:type="dxa"/>
            <w:tcBorders/>
            <w:vAlign w:val="bottom"/>
          </w:tcPr>
          <w:p>
            <w:pPr>
              <w:pStyle w:val="TableContents"/>
              <w:bidi w:val="0"/>
              <w:spacing w:before="0" w:after="283"/>
              <w:jc w:val="left"/>
              <w:rPr/>
            </w:pPr>
            <w:r>
              <w:rPr/>
              <w:t> </w:t>
            </w:r>
          </w:p>
        </w:tc>
      </w:tr>
      <w:tr>
        <w:trPr/>
        <w:tc>
          <w:tcPr>
            <w:tcW w:w="3352" w:type="dxa"/>
            <w:tcBorders/>
            <w:shd w:fill="CCEEFF" w:val="clear"/>
            <w:vAlign w:val="bottom"/>
          </w:tcPr>
          <w:p>
            <w:pPr>
              <w:pStyle w:val="TableContents"/>
              <w:bidi w:val="0"/>
              <w:spacing w:before="0" w:after="0"/>
              <w:ind w:left="0" w:right="62" w:hanging="0"/>
              <w:jc w:val="both"/>
              <w:rPr>
                <w:color w:val="000000"/>
              </w:rPr>
            </w:pPr>
            <w:r>
              <w:rPr>
                <w:color w:val="000000"/>
              </w:rPr>
              <w:t>Outstanding – December 31, 2025</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color w:val="000000"/>
              </w:rPr>
            </w:pPr>
            <w:r>
              <w:rPr>
                <w:color w:val="000000"/>
              </w:rPr>
              <w:t>29,512,900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79" w:type="dxa"/>
            <w:tcBorders/>
            <w:shd w:fill="CCEEFF" w:val="clear"/>
            <w:vAlign w:val="bottom"/>
          </w:tcPr>
          <w:p>
            <w:pPr>
              <w:pStyle w:val="TableContents"/>
              <w:bidi w:val="0"/>
              <w:spacing w:before="0" w:after="0"/>
              <w:jc w:val="left"/>
              <w:rPr>
                <w:color w:val="000000"/>
              </w:rPr>
            </w:pPr>
            <w:r>
              <w:rPr>
                <w:color w:val="000000"/>
              </w:rPr>
              <w:t>$</w:t>
            </w:r>
          </w:p>
        </w:tc>
        <w:tc>
          <w:tcPr>
            <w:tcW w:w="1506" w:type="dxa"/>
            <w:tcBorders/>
            <w:shd w:fill="CCEEFF" w:val="clear"/>
            <w:vAlign w:val="bottom"/>
          </w:tcPr>
          <w:p>
            <w:pPr>
              <w:pStyle w:val="TableContents"/>
              <w:bidi w:val="0"/>
              <w:spacing w:before="0" w:after="0"/>
              <w:jc w:val="right"/>
              <w:rPr>
                <w:color w:val="000000"/>
              </w:rPr>
            </w:pPr>
            <w:r>
              <w:rPr>
                <w:color w:val="000000"/>
              </w:rPr>
              <w:t>3.19</w:t>
            </w:r>
          </w:p>
        </w:tc>
        <w:tc>
          <w:tcPr>
            <w:tcW w:w="60" w:type="dxa"/>
            <w:tcBorders/>
            <w:shd w:fill="CCEEFF" w:val="clear"/>
            <w:vAlign w:val="bottom"/>
          </w:tcPr>
          <w:p>
            <w:pPr>
              <w:pStyle w:val="TableContents"/>
              <w:bidi w:val="0"/>
              <w:spacing w:before="0" w:after="283"/>
              <w:jc w:val="left"/>
              <w:rPr/>
            </w:pPr>
            <w:r>
              <w:rPr/>
              <w:t> </w:t>
            </w:r>
          </w:p>
        </w:tc>
      </w:tr>
      <w:tr>
        <w:trPr/>
        <w:tc>
          <w:tcPr>
            <w:tcW w:w="3352" w:type="dxa"/>
            <w:tcBorders/>
            <w:vAlign w:val="bottom"/>
          </w:tcPr>
          <w:p>
            <w:pPr>
              <w:pStyle w:val="TableContents"/>
              <w:bidi w:val="0"/>
              <w:spacing w:before="0" w:after="0"/>
              <w:ind w:left="180" w:right="0" w:hanging="0"/>
              <w:jc w:val="left"/>
              <w:rPr>
                <w:color w:val="000000"/>
              </w:rPr>
            </w:pPr>
            <w:r>
              <w:rPr>
                <w:color w:val="000000"/>
              </w:rPr>
              <w:t>Forfeited or canceled</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(268,790</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479" w:type="dxa"/>
            <w:tcBorders/>
            <w:vAlign w:val="bottom"/>
          </w:tcPr>
          <w:p>
            <w:pPr>
              <w:pStyle w:val="TableContents"/>
              <w:bidi w:val="0"/>
              <w:spacing w:before="0" w:after="283"/>
              <w:jc w:val="left"/>
              <w:rPr/>
            </w:pPr>
            <w:r>
              <w:rPr/>
              <w:t> </w:t>
            </w:r>
          </w:p>
        </w:tc>
        <w:tc>
          <w:tcPr>
            <w:tcW w:w="1506" w:type="dxa"/>
            <w:tcBorders/>
            <w:vAlign w:val="bottom"/>
          </w:tcPr>
          <w:p>
            <w:pPr>
              <w:pStyle w:val="TableContents"/>
              <w:bidi w:val="0"/>
              <w:spacing w:before="0" w:after="0"/>
              <w:jc w:val="right"/>
              <w:rPr>
                <w:color w:val="000000"/>
              </w:rPr>
            </w:pPr>
            <w:r>
              <w:rPr>
                <w:color w:val="000000"/>
              </w:rPr>
              <w:t>4.28</w:t>
            </w:r>
          </w:p>
        </w:tc>
        <w:tc>
          <w:tcPr>
            <w:tcW w:w="60" w:type="dxa"/>
            <w:tcBorders/>
            <w:vAlign w:val="bottom"/>
          </w:tcPr>
          <w:p>
            <w:pPr>
              <w:pStyle w:val="TableContents"/>
              <w:bidi w:val="0"/>
              <w:spacing w:before="0" w:after="283"/>
              <w:jc w:val="left"/>
              <w:rPr/>
            </w:pPr>
            <w:r>
              <w:rPr/>
              <w:t> </w:t>
            </w:r>
          </w:p>
        </w:tc>
      </w:tr>
      <w:tr>
        <w:trPr/>
        <w:tc>
          <w:tcPr>
            <w:tcW w:w="3352" w:type="dxa"/>
            <w:tcBorders/>
            <w:shd w:fill="CCEEFF" w:val="clear"/>
            <w:vAlign w:val="bottom"/>
          </w:tcPr>
          <w:p>
            <w:pPr>
              <w:pStyle w:val="TableContents"/>
              <w:bidi w:val="0"/>
              <w:spacing w:before="0" w:after="0"/>
              <w:ind w:left="180" w:right="0" w:hanging="0"/>
              <w:jc w:val="left"/>
              <w:rPr>
                <w:color w:val="000000"/>
              </w:rPr>
            </w:pPr>
            <w:r>
              <w:rPr>
                <w:color w:val="000000"/>
              </w:rPr>
              <w:t>Outstanding – June 30, 2026</w:t>
            </w:r>
          </w:p>
        </w:tc>
        <w:tc>
          <w:tcPr>
            <w:tcW w:w="60" w:type="dxa"/>
            <w:tcBorders/>
            <w:shd w:fill="CCEEFF" w:val="clear"/>
            <w:vAlign w:val="bottom"/>
          </w:tcPr>
          <w:p>
            <w:pPr>
              <w:pStyle w:val="TableContents"/>
              <w:bidi w:val="0"/>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29,244,110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79" w:type="dxa"/>
            <w:tcBorders/>
            <w:shd w:fill="CCEEFF" w:val="clear"/>
            <w:vAlign w:val="bottom"/>
          </w:tcPr>
          <w:p>
            <w:pPr>
              <w:pStyle w:val="TableContents"/>
              <w:bidi w:val="0"/>
              <w:spacing w:before="0" w:after="0"/>
              <w:jc w:val="left"/>
              <w:rPr>
                <w:color w:val="000000"/>
              </w:rPr>
            </w:pPr>
            <w:r>
              <w:rPr>
                <w:color w:val="000000"/>
              </w:rPr>
              <w:t>$</w:t>
            </w:r>
          </w:p>
        </w:tc>
        <w:tc>
          <w:tcPr>
            <w:tcW w:w="1506" w:type="dxa"/>
            <w:tcBorders/>
            <w:shd w:fill="CCEEFF" w:val="clear"/>
            <w:vAlign w:val="bottom"/>
          </w:tcPr>
          <w:p>
            <w:pPr>
              <w:pStyle w:val="TableContents"/>
              <w:bidi w:val="0"/>
              <w:spacing w:before="0" w:after="0"/>
              <w:jc w:val="right"/>
              <w:rPr>
                <w:color w:val="000000"/>
              </w:rPr>
            </w:pPr>
            <w:r>
              <w:rPr>
                <w:color w:val="000000"/>
              </w:rPr>
              <w:t>3.18</w:t>
            </w:r>
          </w:p>
        </w:tc>
        <w:tc>
          <w:tcPr>
            <w:tcW w:w="60" w:type="dxa"/>
            <w:tcBorders/>
            <w:shd w:fill="CCEEFF" w:val="clear"/>
            <w:vAlign w:val="bottom"/>
          </w:tcPr>
          <w:p>
            <w:pPr>
              <w:pStyle w:val="TableContents"/>
              <w:bidi w:val="0"/>
              <w:spacing w:before="0" w:after="283"/>
              <w:jc w:val="left"/>
              <w:rPr/>
            </w:pPr>
            <w:r>
              <w:rPr/>
              <w:t> </w:t>
            </w:r>
          </w:p>
        </w:tc>
      </w:tr>
      <w:tr>
        <w:trPr/>
        <w:tc>
          <w:tcPr>
            <w:tcW w:w="3352" w:type="dxa"/>
            <w:tcBorders/>
            <w:vAlign w:val="bottom"/>
          </w:tcPr>
          <w:p>
            <w:pPr>
              <w:pStyle w:val="TableContents"/>
              <w:bidi w:val="0"/>
              <w:spacing w:before="0" w:after="0"/>
              <w:ind w:left="62" w:right="0" w:hanging="0"/>
              <w:jc w:val="left"/>
              <w:rPr>
                <w:color w:val="000000"/>
              </w:rPr>
            </w:pPr>
            <w:r>
              <w:rPr>
                <w:color w:val="000000"/>
              </w:rPr>
              <w:t>Exercisable– June 30, 2026</w:t>
            </w:r>
          </w:p>
        </w:tc>
        <w:tc>
          <w:tcPr>
            <w:tcW w:w="60" w:type="dxa"/>
            <w:tcBorders/>
            <w:vAlign w:val="bottom"/>
          </w:tcPr>
          <w:p>
            <w:pPr>
              <w:pStyle w:val="TableContents"/>
              <w:bidi w:val="0"/>
              <w:spacing w:before="0" w:after="283"/>
              <w:jc w:val="righ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110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25,643,002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79" w:type="dxa"/>
            <w:tcBorders/>
            <w:vAlign w:val="bottom"/>
          </w:tcPr>
          <w:p>
            <w:pPr>
              <w:pStyle w:val="TableContents"/>
              <w:bidi w:val="0"/>
              <w:spacing w:before="0" w:after="0"/>
              <w:jc w:val="left"/>
              <w:rPr>
                <w:color w:val="000000"/>
              </w:rPr>
            </w:pPr>
            <w:r>
              <w:rPr>
                <w:color w:val="000000"/>
              </w:rPr>
              <w:t>$</w:t>
            </w:r>
          </w:p>
        </w:tc>
        <w:tc>
          <w:tcPr>
            <w:tcW w:w="1506" w:type="dxa"/>
            <w:tcBorders/>
            <w:vAlign w:val="bottom"/>
          </w:tcPr>
          <w:p>
            <w:pPr>
              <w:pStyle w:val="TableContents"/>
              <w:bidi w:val="0"/>
              <w:spacing w:before="0" w:after="0"/>
              <w:jc w:val="right"/>
              <w:rPr>
                <w:color w:val="000000"/>
              </w:rPr>
            </w:pPr>
            <w:r>
              <w:rPr>
                <w:color w:val="000000"/>
              </w:rPr>
              <w:t>3.13</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t> </w:t>
      </w:r>
    </w:p>
    <w:p>
      <w:pPr>
        <w:pStyle w:val="TextBody"/>
        <w:bidi w:val="0"/>
        <w:spacing w:lineRule="auto" w:line="240" w:before="0" w:after="0"/>
        <w:jc w:val="left"/>
        <w:rPr>
          <w:rFonts w:ascii="Times New Roman" w:hAnsi="Times New Roman"/>
          <w:color w:val="000000"/>
          <w:sz w:val="20"/>
        </w:rPr>
      </w:pPr>
      <w:r>
        <w:rPr>
          <w:rFonts w:ascii="Times New Roman" w:hAnsi="Times New Roman"/>
          <w:color w:val="000000"/>
          <w:sz w:val="20"/>
        </w:rPr>
        <w:t>(3) The Weighted-Average Exercise Price does not reflect the Repricing discussed below.</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As of June 30, 2026, and December 31, 2025, there were 25,643,002, and 23,203,315 vested stock options outstanding, respectively.</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Restricted Stock Units and Restricted Stock Awards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RSUs are share awards that, upon vesting, will deliver to the holder, shares of the Company’s common stock. The vesting of RSUs is conditioned on the satisfaction of two vesting requirements before the expiration date or earlier termination of the RSUs pursuant to the 2016 Amended Plan or the RSU Agreement: a time- and service-based requirement and a Liquidity Event Requirement. The Liquidity Event Requirement will be satisfied on the earliest to occur of: (i) the date that is the earlier of (1) six months after the effective date of an initial public offering of the Company and (2) March 15 of the calendar year following the year in which the initial public offering was declared effective; and (ii) the date of a change of control (as defined). Since the satisfaction of the Liquidity Event Requirement involves numerous risks and uncertainties, many of which are outside of the Company’s control, the performance condition is not deemed to be probable until the event actually occurs. Accordingly, no stock-based compensation expense for RSUs has been recognized to date and none of the RSUs have satisfied the two-tiered vesting requirement as of June 30, 2026, and 2025.</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following table summarizes the Company’s RSU activity for the six months ended June 30, 2026:</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1" w:name="z94d4512664fb4afabef16767f8cd95ae"/>
      <w:bookmarkStart w:id="102" w:name="z94d4512664fb4afabef16767f8cd95ae"/>
      <w:bookmarkEnd w:id="102"/>
    </w:p>
    <w:tbl>
      <w:tblPr>
        <w:tblW w:w="6397" w:type="dxa"/>
        <w:jc w:val="left"/>
        <w:tblInd w:w="0" w:type="dxa"/>
        <w:tblLayout w:type="fixed"/>
        <w:tblCellMar>
          <w:top w:w="0" w:type="dxa"/>
          <w:left w:w="0" w:type="dxa"/>
          <w:bottom w:w="0" w:type="dxa"/>
          <w:right w:w="0" w:type="dxa"/>
        </w:tblCellMar>
      </w:tblPr>
      <w:tblGrid>
        <w:gridCol w:w="3292"/>
        <w:gridCol w:w="60"/>
        <w:gridCol w:w="60"/>
        <w:gridCol w:w="1100"/>
        <w:gridCol w:w="95"/>
        <w:gridCol w:w="60"/>
        <w:gridCol w:w="403"/>
        <w:gridCol w:w="1267"/>
        <w:gridCol w:w="60"/>
      </w:tblGrid>
      <w:tr>
        <w:trPr/>
        <w:tc>
          <w:tcPr>
            <w:tcW w:w="32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bottom"/>
          </w:tcPr>
          <w:p>
            <w:pPr>
              <w:pStyle w:val="TableContents"/>
              <w:bidi w:val="0"/>
              <w:spacing w:before="0" w:after="0"/>
              <w:jc w:val="right"/>
              <w:rPr>
                <w:b/>
                <w:color w:val="000000"/>
              </w:rPr>
            </w:pPr>
            <w:r>
              <w:rPr>
                <w:b/>
                <w:color w:val="000000"/>
              </w:rPr>
              <w:t>Number of</w:t>
            </w:r>
          </w:p>
          <w:p>
            <w:pPr>
              <w:pStyle w:val="TableContents"/>
              <w:bidi w:val="0"/>
              <w:spacing w:before="0" w:after="0"/>
              <w:jc w:val="right"/>
              <w:rPr>
                <w:b/>
                <w:color w:val="000000"/>
              </w:rPr>
            </w:pPr>
            <w:r>
              <w:rPr>
                <w:b/>
                <w:color w:val="000000"/>
              </w:rPr>
              <w:t>RSUs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0" w:type="dxa"/>
            <w:gridSpan w:val="2"/>
            <w:tcBorders>
              <w:bottom w:val="single" w:sz="12" w:space="0" w:color="000000"/>
            </w:tcBorders>
            <w:tcMar>
              <w:bottom w:w="28" w:type="dxa"/>
            </w:tcMar>
            <w:vAlign w:val="bottom"/>
          </w:tcPr>
          <w:p>
            <w:pPr>
              <w:pStyle w:val="TableContents"/>
              <w:bidi w:val="0"/>
              <w:spacing w:before="0" w:after="0"/>
              <w:jc w:val="right"/>
              <w:rPr>
                <w:b/>
                <w:color w:val="000000"/>
              </w:rPr>
            </w:pPr>
            <w:r>
              <w:rPr>
                <w:b/>
                <w:color w:val="000000"/>
              </w:rPr>
              <w:t>Weighted</w:t>
            </w:r>
          </w:p>
          <w:p>
            <w:pPr>
              <w:pStyle w:val="TableContents"/>
              <w:bidi w:val="0"/>
              <w:spacing w:before="0" w:after="0"/>
              <w:jc w:val="right"/>
              <w:rPr>
                <w:b/>
                <w:color w:val="000000"/>
              </w:rPr>
            </w:pPr>
            <w:r>
              <w:rPr>
                <w:b/>
                <w:color w:val="000000"/>
              </w:rPr>
              <w:t>Average</w:t>
            </w:r>
          </w:p>
          <w:p>
            <w:pPr>
              <w:pStyle w:val="TableContents"/>
              <w:bidi w:val="0"/>
              <w:spacing w:before="0" w:after="0"/>
              <w:jc w:val="right"/>
              <w:rPr>
                <w:b/>
                <w:color w:val="000000"/>
              </w:rPr>
            </w:pPr>
            <w:r>
              <w:rPr>
                <w:b/>
                <w:color w:val="000000"/>
              </w:rPr>
              <w:t>Grant Date Fair</w:t>
            </w:r>
          </w:p>
          <w:p>
            <w:pPr>
              <w:pStyle w:val="TableContents"/>
              <w:bidi w:val="0"/>
              <w:spacing w:before="0" w:after="0"/>
              <w:jc w:val="right"/>
              <w:rPr>
                <w:b/>
                <w:color w:val="000000"/>
              </w:rPr>
            </w:pPr>
            <w:r>
              <w:rPr>
                <w:b/>
                <w:color w:val="000000"/>
              </w:rPr>
              <w:t>Value</w:t>
            </w:r>
          </w:p>
          <w:p>
            <w:pPr>
              <w:pStyle w:val="TableContents"/>
              <w:bidi w:val="0"/>
              <w:spacing w:before="0" w:after="0"/>
              <w:jc w:val="right"/>
              <w:rPr>
                <w:b/>
                <w:color w:val="000000"/>
              </w:rPr>
            </w:pPr>
            <w:r>
              <w:rPr>
                <w:b/>
                <w:color w:val="000000"/>
              </w:rPr>
              <w:t>Per Share</w:t>
            </w:r>
          </w:p>
        </w:tc>
        <w:tc>
          <w:tcPr>
            <w:tcW w:w="60" w:type="dxa"/>
            <w:tcBorders/>
            <w:vAlign w:val="bottom"/>
          </w:tcPr>
          <w:p>
            <w:pPr>
              <w:pStyle w:val="TableContents"/>
              <w:bidi w:val="0"/>
              <w:spacing w:before="0" w:after="283"/>
              <w:jc w:val="left"/>
              <w:rPr/>
            </w:pPr>
            <w:r>
              <w:rPr/>
              <w:t> </w:t>
            </w:r>
          </w:p>
        </w:tc>
      </w:tr>
      <w:tr>
        <w:trPr/>
        <w:tc>
          <w:tcPr>
            <w:tcW w:w="3292" w:type="dxa"/>
            <w:tcBorders/>
            <w:shd w:fill="CCEEFF" w:val="clear"/>
            <w:vAlign w:val="bottom"/>
          </w:tcPr>
          <w:p>
            <w:pPr>
              <w:pStyle w:val="TableContents"/>
              <w:bidi w:val="0"/>
              <w:spacing w:before="0" w:after="0"/>
              <w:ind w:left="0" w:right="62" w:hanging="0"/>
              <w:jc w:val="both"/>
              <w:rPr>
                <w:color w:val="000000"/>
              </w:rPr>
            </w:pPr>
            <w:r>
              <w:rPr>
                <w:color w:val="000000"/>
              </w:rPr>
              <w:t>Outstanding– December 31, 2025</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color w:val="000000"/>
              </w:rPr>
            </w:pPr>
            <w:r>
              <w:rPr>
                <w:color w:val="000000"/>
              </w:rPr>
              <w:t>14,472,242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03" w:type="dxa"/>
            <w:tcBorders/>
            <w:shd w:fill="CCEEFF" w:val="clear"/>
            <w:vAlign w:val="bottom"/>
          </w:tcPr>
          <w:p>
            <w:pPr>
              <w:pStyle w:val="TableContents"/>
              <w:bidi w:val="0"/>
              <w:spacing w:before="0" w:after="0"/>
              <w:jc w:val="left"/>
              <w:rPr>
                <w:color w:val="000000"/>
              </w:rPr>
            </w:pPr>
            <w:r>
              <w:rPr>
                <w:color w:val="000000"/>
              </w:rPr>
              <w:t>$</w:t>
            </w:r>
          </w:p>
        </w:tc>
        <w:tc>
          <w:tcPr>
            <w:tcW w:w="1267" w:type="dxa"/>
            <w:tcBorders/>
            <w:shd w:fill="CCEEFF" w:val="clear"/>
            <w:vAlign w:val="bottom"/>
          </w:tcPr>
          <w:p>
            <w:pPr>
              <w:pStyle w:val="TableContents"/>
              <w:bidi w:val="0"/>
              <w:spacing w:before="0" w:after="0"/>
              <w:jc w:val="right"/>
              <w:rPr>
                <w:color w:val="000000"/>
              </w:rPr>
            </w:pPr>
            <w:r>
              <w:rPr>
                <w:color w:val="000000"/>
              </w:rPr>
              <w:t>3.58</w:t>
            </w:r>
          </w:p>
        </w:tc>
        <w:tc>
          <w:tcPr>
            <w:tcW w:w="60" w:type="dxa"/>
            <w:tcBorders/>
            <w:shd w:fill="CCEEFF" w:val="clear"/>
            <w:vAlign w:val="bottom"/>
          </w:tcPr>
          <w:p>
            <w:pPr>
              <w:pStyle w:val="TableContents"/>
              <w:bidi w:val="0"/>
              <w:spacing w:before="0" w:after="283"/>
              <w:jc w:val="left"/>
              <w:rPr/>
            </w:pPr>
            <w:r>
              <w:rPr/>
              <w:t> </w:t>
            </w:r>
          </w:p>
        </w:tc>
      </w:tr>
      <w:tr>
        <w:trPr/>
        <w:tc>
          <w:tcPr>
            <w:tcW w:w="3292" w:type="dxa"/>
            <w:tcBorders/>
            <w:vAlign w:val="bottom"/>
          </w:tcPr>
          <w:p>
            <w:pPr>
              <w:pStyle w:val="TableContents"/>
              <w:bidi w:val="0"/>
              <w:spacing w:before="0" w:after="0"/>
              <w:jc w:val="left"/>
              <w:rPr>
                <w:color w:val="000000"/>
              </w:rPr>
            </w:pPr>
            <w:r>
              <w:rPr>
                <w:color w:val="000000"/>
              </w:rPr>
              <w:t>Forfeited or canceled</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(209,404</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403" w:type="dxa"/>
            <w:tcBorders/>
            <w:vAlign w:val="bottom"/>
          </w:tcPr>
          <w:p>
            <w:pPr>
              <w:pStyle w:val="TableContents"/>
              <w:bidi w:val="0"/>
              <w:spacing w:before="0" w:after="283"/>
              <w:jc w:val="left"/>
              <w:rPr/>
            </w:pPr>
            <w:r>
              <w:rPr/>
              <w:t> </w:t>
            </w:r>
          </w:p>
        </w:tc>
        <w:tc>
          <w:tcPr>
            <w:tcW w:w="1267" w:type="dxa"/>
            <w:tcBorders/>
            <w:vAlign w:val="bottom"/>
          </w:tcPr>
          <w:p>
            <w:pPr>
              <w:pStyle w:val="TableContents"/>
              <w:bidi w:val="0"/>
              <w:spacing w:before="0" w:after="0"/>
              <w:jc w:val="right"/>
              <w:rPr>
                <w:color w:val="000000"/>
              </w:rPr>
            </w:pPr>
            <w:r>
              <w:rPr>
                <w:color w:val="000000"/>
              </w:rPr>
              <w:t>4.19</w:t>
            </w:r>
          </w:p>
        </w:tc>
        <w:tc>
          <w:tcPr>
            <w:tcW w:w="60" w:type="dxa"/>
            <w:tcBorders/>
            <w:vAlign w:val="bottom"/>
          </w:tcPr>
          <w:p>
            <w:pPr>
              <w:pStyle w:val="TableContents"/>
              <w:bidi w:val="0"/>
              <w:spacing w:before="0" w:after="283"/>
              <w:jc w:val="left"/>
              <w:rPr/>
            </w:pPr>
            <w:r>
              <w:rPr/>
              <w:t> </w:t>
            </w:r>
          </w:p>
        </w:tc>
      </w:tr>
      <w:tr>
        <w:trPr/>
        <w:tc>
          <w:tcPr>
            <w:tcW w:w="3292" w:type="dxa"/>
            <w:tcBorders/>
            <w:shd w:fill="CCEEFF" w:val="clear"/>
            <w:vAlign w:val="bottom"/>
          </w:tcPr>
          <w:p>
            <w:pPr>
              <w:pStyle w:val="TableContents"/>
              <w:bidi w:val="0"/>
              <w:spacing w:before="0" w:after="0"/>
              <w:jc w:val="both"/>
              <w:rPr>
                <w:color w:val="000000"/>
              </w:rPr>
            </w:pPr>
            <w:r>
              <w:rPr>
                <w:color w:val="000000"/>
              </w:rPr>
              <w:t>Outstanding– June 30, 2026</w:t>
            </w:r>
          </w:p>
        </w:tc>
        <w:tc>
          <w:tcPr>
            <w:tcW w:w="60" w:type="dxa"/>
            <w:tcBorders/>
            <w:shd w:fill="CCEEFF" w:val="clear"/>
            <w:vAlign w:val="bottom"/>
          </w:tcPr>
          <w:p>
            <w:pPr>
              <w:pStyle w:val="TableContents"/>
              <w:bidi w:val="0"/>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14,262,838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03"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67"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3.57</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Stock-based compensation expense was as follows (in thousands):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3" w:name="zcff1ea2e7bcb40199a070690542f3afd"/>
      <w:bookmarkStart w:id="104" w:name="zcff1ea2e7bcb40199a070690542f3afd"/>
      <w:bookmarkEnd w:id="104"/>
    </w:p>
    <w:tbl>
      <w:tblPr>
        <w:tblW w:w="10134" w:type="dxa"/>
        <w:jc w:val="left"/>
        <w:tblInd w:w="0" w:type="dxa"/>
        <w:tblLayout w:type="fixed"/>
        <w:tblCellMar>
          <w:top w:w="0" w:type="dxa"/>
          <w:left w:w="0" w:type="dxa"/>
          <w:bottom w:w="0" w:type="dxa"/>
          <w:right w:w="0" w:type="dxa"/>
        </w:tblCellMar>
      </w:tblPr>
      <w:tblGrid>
        <w:gridCol w:w="3950"/>
        <w:gridCol w:w="60"/>
        <w:gridCol w:w="287"/>
        <w:gridCol w:w="1151"/>
        <w:gridCol w:w="123"/>
        <w:gridCol w:w="123"/>
        <w:gridCol w:w="287"/>
        <w:gridCol w:w="1151"/>
        <w:gridCol w:w="60"/>
        <w:gridCol w:w="60"/>
        <w:gridCol w:w="260"/>
        <w:gridCol w:w="1040"/>
        <w:gridCol w:w="111"/>
        <w:gridCol w:w="111"/>
        <w:gridCol w:w="260"/>
        <w:gridCol w:w="1040"/>
        <w:gridCol w:w="60"/>
      </w:tblGrid>
      <w:tr>
        <w:trPr/>
        <w:tc>
          <w:tcPr>
            <w:tcW w:w="39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22"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Months Ended June 30,</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2822"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Six Months Ended June 30,</w:t>
            </w:r>
          </w:p>
        </w:tc>
        <w:tc>
          <w:tcPr>
            <w:tcW w:w="60" w:type="dxa"/>
            <w:tcBorders/>
            <w:vAlign w:val="bottom"/>
          </w:tcPr>
          <w:p>
            <w:pPr>
              <w:pStyle w:val="TableContents"/>
              <w:bidi w:val="0"/>
              <w:spacing w:before="0" w:after="283"/>
              <w:jc w:val="left"/>
              <w:rPr/>
            </w:pPr>
            <w:r>
              <w:rPr/>
              <w:t> </w:t>
            </w:r>
          </w:p>
        </w:tc>
      </w:tr>
      <w:tr>
        <w:trPr/>
        <w:tc>
          <w:tcPr>
            <w:tcW w:w="3950" w:type="dxa"/>
            <w:tcBorders/>
            <w:vAlign w:val="bottom"/>
          </w:tcPr>
          <w:p>
            <w:pPr>
              <w:pStyle w:val="TableContents"/>
              <w:bidi w:val="0"/>
              <w:spacing w:before="0" w:after="0"/>
              <w:jc w:val="left"/>
              <w:rPr>
                <w:color w:val="000000"/>
              </w:rPr>
            </w:pPr>
            <w:r>
              <w:rPr>
                <w:color w:val="000000"/>
              </w:rPr>
              <w:t>Stock-based compensation recognized as:</w:t>
            </w:r>
          </w:p>
        </w:tc>
        <w:tc>
          <w:tcPr>
            <w:tcW w:w="60" w:type="dxa"/>
            <w:tcBorders/>
            <w:vAlign w:val="bottom"/>
          </w:tcPr>
          <w:p>
            <w:pPr>
              <w:pStyle w:val="TableContents"/>
              <w:bidi w:val="0"/>
              <w:spacing w:before="0" w:after="283"/>
              <w:jc w:val="left"/>
              <w:rPr/>
            </w:pPr>
            <w:r>
              <w:rPr/>
              <w:t> </w:t>
            </w:r>
          </w:p>
        </w:tc>
        <w:tc>
          <w:tcPr>
            <w:tcW w:w="1438" w:type="dxa"/>
            <w:gridSpan w:val="2"/>
            <w:tcBorders>
              <w:bottom w:val="single" w:sz="12" w:space="0" w:color="000000"/>
            </w:tcBorders>
            <w:tcMar>
              <w:bottom w:w="28" w:type="dxa"/>
            </w:tcMar>
            <w:vAlign w:val="bottom"/>
          </w:tcPr>
          <w:p>
            <w:pPr>
              <w:pStyle w:val="TableContents"/>
              <w:bidi w:val="0"/>
              <w:spacing w:before="0" w:after="0"/>
              <w:ind w:left="0" w:right="0" w:firstLine="20"/>
              <w:jc w:val="center"/>
              <w:rPr>
                <w:b/>
                <w:color w:val="000000"/>
              </w:rPr>
            </w:pPr>
            <w:r>
              <w:rPr>
                <w:b/>
                <w:color w:val="000000"/>
              </w:rPr>
              <w:t>2026</w:t>
            </w:r>
          </w:p>
        </w:tc>
        <w:tc>
          <w:tcPr>
            <w:tcW w:w="12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38"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bottom"/>
          </w:tcPr>
          <w:p>
            <w:pPr>
              <w:pStyle w:val="TableContents"/>
              <w:bidi w:val="0"/>
              <w:spacing w:before="0" w:after="0"/>
              <w:ind w:left="0" w:right="0" w:firstLine="20"/>
              <w:jc w:val="center"/>
              <w:rPr>
                <w:b/>
                <w:color w:val="000000"/>
              </w:rPr>
            </w:pPr>
            <w:r>
              <w:rPr>
                <w:b/>
                <w:color w:val="000000"/>
              </w:rPr>
              <w:t>2025</w:t>
            </w:r>
          </w:p>
        </w:tc>
        <w:tc>
          <w:tcPr>
            <w:tcW w:w="60" w:type="dxa"/>
            <w:tcBorders/>
            <w:vAlign w:val="bottom"/>
          </w:tcPr>
          <w:p>
            <w:pPr>
              <w:pStyle w:val="TableContents"/>
              <w:bidi w:val="0"/>
              <w:spacing w:before="0" w:after="283"/>
              <w:jc w:val="left"/>
              <w:rPr/>
            </w:pPr>
            <w:r>
              <w:rPr/>
              <w:t> </w:t>
            </w:r>
          </w:p>
        </w:tc>
      </w:tr>
      <w:tr>
        <w:trPr/>
        <w:tc>
          <w:tcPr>
            <w:tcW w:w="3950" w:type="dxa"/>
            <w:tcBorders/>
            <w:shd w:fill="CCEEFF" w:val="clear"/>
            <w:vAlign w:val="bottom"/>
          </w:tcPr>
          <w:p>
            <w:pPr>
              <w:pStyle w:val="TableContents"/>
              <w:bidi w:val="0"/>
              <w:spacing w:before="0" w:after="0"/>
              <w:ind w:left="180" w:right="0" w:hanging="0"/>
              <w:jc w:val="left"/>
              <w:rPr>
                <w:color w:val="000000"/>
              </w:rPr>
            </w:pPr>
            <w:r>
              <w:rPr>
                <w:color w:val="000000"/>
              </w:rPr>
              <w:t>R&amp;D expenses</w:t>
            </w:r>
          </w:p>
        </w:tc>
        <w:tc>
          <w:tcPr>
            <w:tcW w:w="6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0"/>
              <w:jc w:val="left"/>
              <w:rPr>
                <w:color w:val="000000"/>
              </w:rPr>
            </w:pPr>
            <w:r>
              <w:rPr>
                <w:color w:val="000000"/>
              </w:rPr>
              <w:t>$</w:t>
            </w:r>
          </w:p>
        </w:tc>
        <w:tc>
          <w:tcPr>
            <w:tcW w:w="1151" w:type="dxa"/>
            <w:tcBorders/>
            <w:shd w:fill="CCEEFF" w:val="clear"/>
            <w:vAlign w:val="bottom"/>
          </w:tcPr>
          <w:p>
            <w:pPr>
              <w:pStyle w:val="TableContents"/>
              <w:bidi w:val="0"/>
              <w:spacing w:before="0" w:after="0"/>
              <w:jc w:val="right"/>
              <w:rPr>
                <w:color w:val="000000"/>
              </w:rPr>
            </w:pPr>
            <w:r>
              <w:rPr>
                <w:color w:val="000000"/>
              </w:rPr>
              <w:t>1,277</w:t>
            </w:r>
          </w:p>
        </w:tc>
        <w:tc>
          <w:tcPr>
            <w:tcW w:w="123"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0"/>
              <w:jc w:val="left"/>
              <w:rPr>
                <w:color w:val="000000"/>
              </w:rPr>
            </w:pPr>
            <w:r>
              <w:rPr>
                <w:color w:val="000000"/>
              </w:rPr>
              <w:t>$</w:t>
            </w:r>
          </w:p>
        </w:tc>
        <w:tc>
          <w:tcPr>
            <w:tcW w:w="1151" w:type="dxa"/>
            <w:tcBorders/>
            <w:shd w:fill="CCEEFF" w:val="clear"/>
            <w:vAlign w:val="bottom"/>
          </w:tcPr>
          <w:p>
            <w:pPr>
              <w:pStyle w:val="TableContents"/>
              <w:bidi w:val="0"/>
              <w:spacing w:before="0" w:after="0"/>
              <w:jc w:val="right"/>
              <w:rPr>
                <w:color w:val="000000"/>
              </w:rPr>
            </w:pPr>
            <w:r>
              <w:rPr>
                <w:color w:val="000000"/>
              </w:rPr>
              <w:t>1,382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0"/>
              <w:jc w:val="left"/>
              <w:rPr>
                <w:color w:val="000000"/>
              </w:rPr>
            </w:pPr>
            <w:r>
              <w:rPr>
                <w:color w:val="000000"/>
              </w:rPr>
              <w:t>$</w:t>
            </w:r>
          </w:p>
        </w:tc>
        <w:tc>
          <w:tcPr>
            <w:tcW w:w="1040" w:type="dxa"/>
            <w:tcBorders/>
            <w:shd w:fill="CCEEFF" w:val="clear"/>
            <w:vAlign w:val="bottom"/>
          </w:tcPr>
          <w:p>
            <w:pPr>
              <w:pStyle w:val="TableContents"/>
              <w:bidi w:val="0"/>
              <w:spacing w:before="0" w:after="0"/>
              <w:jc w:val="right"/>
              <w:rPr>
                <w:color w:val="000000"/>
              </w:rPr>
            </w:pPr>
            <w:r>
              <w:rPr>
                <w:color w:val="000000"/>
              </w:rPr>
              <w:t>2,576</w:t>
            </w:r>
          </w:p>
        </w:tc>
        <w:tc>
          <w:tcPr>
            <w:tcW w:w="11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0"/>
              <w:jc w:val="left"/>
              <w:rPr>
                <w:color w:val="000000"/>
              </w:rPr>
            </w:pPr>
            <w:r>
              <w:rPr>
                <w:color w:val="000000"/>
              </w:rPr>
              <w:t>$</w:t>
            </w:r>
          </w:p>
        </w:tc>
        <w:tc>
          <w:tcPr>
            <w:tcW w:w="1040" w:type="dxa"/>
            <w:tcBorders/>
            <w:shd w:fill="CCEEFF" w:val="clear"/>
            <w:vAlign w:val="bottom"/>
          </w:tcPr>
          <w:p>
            <w:pPr>
              <w:pStyle w:val="TableContents"/>
              <w:bidi w:val="0"/>
              <w:spacing w:before="0" w:after="0"/>
              <w:jc w:val="right"/>
              <w:rPr>
                <w:color w:val="000000"/>
              </w:rPr>
            </w:pPr>
            <w:r>
              <w:rPr>
                <w:color w:val="000000"/>
              </w:rPr>
              <w:t>2,701</w:t>
            </w:r>
          </w:p>
        </w:tc>
        <w:tc>
          <w:tcPr>
            <w:tcW w:w="60" w:type="dxa"/>
            <w:tcBorders/>
            <w:shd w:fill="CCEEFF" w:val="clear"/>
            <w:vAlign w:val="bottom"/>
          </w:tcPr>
          <w:p>
            <w:pPr>
              <w:pStyle w:val="TableContents"/>
              <w:bidi w:val="0"/>
              <w:spacing w:before="0" w:after="283"/>
              <w:jc w:val="left"/>
              <w:rPr/>
            </w:pPr>
            <w:r>
              <w:rPr/>
              <w:t> </w:t>
            </w:r>
          </w:p>
        </w:tc>
      </w:tr>
      <w:tr>
        <w:trPr/>
        <w:tc>
          <w:tcPr>
            <w:tcW w:w="3950" w:type="dxa"/>
            <w:tcBorders/>
            <w:vAlign w:val="bottom"/>
          </w:tcPr>
          <w:p>
            <w:pPr>
              <w:pStyle w:val="TableContents"/>
              <w:bidi w:val="0"/>
              <w:spacing w:before="0" w:after="0"/>
              <w:ind w:left="180" w:right="0" w:hanging="0"/>
              <w:jc w:val="left"/>
              <w:rPr>
                <w:color w:val="000000"/>
              </w:rPr>
            </w:pPr>
            <w:r>
              <w:rPr>
                <w:color w:val="000000"/>
              </w:rPr>
              <w:t>G&amp;A expenses</w:t>
            </w:r>
          </w:p>
        </w:tc>
        <w:tc>
          <w:tcPr>
            <w:tcW w:w="60" w:type="dxa"/>
            <w:tcBorders/>
            <w:vAlign w:val="bottom"/>
          </w:tcPr>
          <w:p>
            <w:pPr>
              <w:pStyle w:val="TableContents"/>
              <w:bidi w:val="0"/>
              <w:spacing w:before="0" w:after="283"/>
              <w:jc w:val="left"/>
              <w:rPr/>
            </w:pPr>
            <w:r>
              <w:rPr/>
              <w:t> </w:t>
            </w:r>
          </w:p>
        </w:tc>
        <w:tc>
          <w:tcPr>
            <w:tcW w:w="287" w:type="dxa"/>
            <w:tcBorders>
              <w:bottom w:val="single" w:sz="12" w:space="0" w:color="000000"/>
            </w:tcBorders>
            <w:tcMar>
              <w:bottom w:w="28" w:type="dxa"/>
            </w:tcMar>
            <w:vAlign w:val="bottom"/>
          </w:tcPr>
          <w:p>
            <w:pPr>
              <w:pStyle w:val="TableContents"/>
              <w:bidi w:val="0"/>
              <w:spacing w:before="0" w:after="283"/>
              <w:jc w:val="left"/>
              <w:rPr/>
            </w:pPr>
            <w:r>
              <w:rPr/>
              <w:t> </w:t>
            </w:r>
          </w:p>
        </w:tc>
        <w:tc>
          <w:tcPr>
            <w:tcW w:w="115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1,457</w:t>
            </w:r>
          </w:p>
        </w:tc>
        <w:tc>
          <w:tcPr>
            <w:tcW w:w="12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87" w:type="dxa"/>
            <w:tcBorders>
              <w:bottom w:val="single" w:sz="12" w:space="0" w:color="000000"/>
            </w:tcBorders>
            <w:tcMar>
              <w:bottom w:w="28" w:type="dxa"/>
            </w:tcMar>
            <w:vAlign w:val="bottom"/>
          </w:tcPr>
          <w:p>
            <w:pPr>
              <w:pStyle w:val="TableContents"/>
              <w:bidi w:val="0"/>
              <w:spacing w:before="0" w:after="283"/>
              <w:jc w:val="left"/>
              <w:rPr/>
            </w:pPr>
            <w:r>
              <w:rPr/>
              <w:t> </w:t>
            </w:r>
          </w:p>
        </w:tc>
        <w:tc>
          <w:tcPr>
            <w:tcW w:w="115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1,356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4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3,061</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2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4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2,313</w:t>
            </w:r>
          </w:p>
        </w:tc>
        <w:tc>
          <w:tcPr>
            <w:tcW w:w="60" w:type="dxa"/>
            <w:tcBorders/>
            <w:vAlign w:val="bottom"/>
          </w:tcPr>
          <w:p>
            <w:pPr>
              <w:pStyle w:val="TableContents"/>
              <w:bidi w:val="0"/>
              <w:spacing w:before="0" w:after="283"/>
              <w:jc w:val="left"/>
              <w:rPr/>
            </w:pPr>
            <w:r>
              <w:rPr/>
              <w:t> </w:t>
            </w:r>
          </w:p>
        </w:tc>
      </w:tr>
      <w:tr>
        <w:trPr/>
        <w:tc>
          <w:tcPr>
            <w:tcW w:w="3950" w:type="dxa"/>
            <w:tcBorders/>
            <w:shd w:fill="CCEEFF" w:val="clear"/>
            <w:vAlign w:val="bottom"/>
          </w:tcPr>
          <w:p>
            <w:pPr>
              <w:pStyle w:val="TableContents"/>
              <w:bidi w:val="0"/>
              <w:spacing w:before="0" w:after="0"/>
              <w:ind w:left="360" w:right="0" w:hanging="0"/>
              <w:jc w:val="left"/>
              <w:rPr>
                <w:color w:val="000000"/>
              </w:rPr>
            </w:pPr>
            <w:r>
              <w:rPr>
                <w:color w:val="000000"/>
              </w:rPr>
              <w:t>Total</w:t>
            </w:r>
          </w:p>
        </w:tc>
        <w:tc>
          <w:tcPr>
            <w:tcW w:w="60" w:type="dxa"/>
            <w:tcBorders/>
            <w:shd w:fill="CCEEFF" w:val="clear"/>
            <w:vAlign w:val="bottom"/>
          </w:tcPr>
          <w:p>
            <w:pPr>
              <w:pStyle w:val="TableContents"/>
              <w:bidi w:val="0"/>
              <w:spacing w:before="0" w:after="283"/>
              <w:jc w:val="left"/>
              <w:rPr/>
            </w:pPr>
            <w:r>
              <w:rPr/>
              <w:t> </w:t>
            </w:r>
          </w:p>
        </w:tc>
        <w:tc>
          <w:tcPr>
            <w:tcW w:w="287"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51"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2,734</w:t>
            </w:r>
          </w:p>
        </w:tc>
        <w:tc>
          <w:tcPr>
            <w:tcW w:w="123"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287"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51"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2,738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4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5,637</w:t>
            </w:r>
          </w:p>
        </w:tc>
        <w:tc>
          <w:tcPr>
            <w:tcW w:w="11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26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4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5,014</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As of June 30, 2026, total unrecognized stock-based compensation expense was approximately $62.9 million and consisted of $12.0 million related to stock options that are expected to be recognized over a weighted-average period of approximately 2.2 years, and $50.9 million related to RSUs with performance conditions that are not considered probable of vesting.</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21</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Option repricing</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On October 24, 2025, the Board of Directors approved an option repricing (the ‘‘Repricing’’) of outstanding stock options held by certain current employees, including the Company’s named executive officers (the ‘‘Eligible Participants’’), which were granted under the 2016 Amended Plan. The Board approved the Repricing, effective October 2025 (the ‘‘Effective Date’’), upon the Compensation Committee’s recommendation, in order to retain and motivate the Company’s key contributors.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On the Effective Date, the exercise price of outstanding stock options (the ‘‘Repriced Options’’) granted under the 2016 Amended Plan and held by the Eligible Participants, specifically those with an exercise price per share greater than $2.39, was repriced to $2.39 per share (the ‘‘New Exercise Price’’). The closing of the BCA with PCSC does not qualify as a Corporate Transaction and would not end the required Retention Period (as defined below).</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To exercise the Repriced Options at the New Exercise Price, Eligible Participants must remain in service with the Company throughout the Retention Period (as defined herein). The retention period begins on the Effective Date and ends on the earlier of (i) the one-year anniversary of the Effective Date, or (ii) a Corporate Transaction (as defined in the 2016 Amended Plan). If the Retention Period is not satisfied, the Eligible Participant will be required to pay the original exercise price of the corresponding option upon exercise. This requirement is waived if the Eligible Participant’s service is terminated due to death or disability (as defined in the 2026 Plan). Additionally, if a Corporate Transaction occurs prior to the first anniversary of the Repricing Date, the exercise price of the Repriced Options will be equal to $2.39 per share.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repricing was communicated to employees during January 2026. The estimated incremental stock compensation cost of approximately $1.9 million, calculated using a lattice model, will be recognized over the retention period. The Company recognized approximately $0.5 million  and $0.8 million of incremental stock-based compensation expense during the three and six month periods ended June 30, 2026, respectively.</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bookmarkStart w:id="105" w:name="Section20"/>
      <w:bookmarkEnd w:id="105"/>
      <w:r>
        <w:rPr>
          <w:rFonts w:ascii="Times New Roman" w:hAnsi="Times New Roman"/>
          <w:b/>
          <w:color w:val="000000"/>
          <w:sz w:val="20"/>
        </w:rPr>
        <w:t>Note 12—Net Loss Per Share Attributable to Common Stockholders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Company calculates basic and diluted net loss per share attributable to common stockholders in conformity with the two-class method required for participating securities. The Company considers its convertible preferred stock to be participating securities as, in the event a dividend is paid on common stock, the holders of convertible preferred stock and unvested shares of common stock would be entitled to receive dividends on a basis consistent with the common stockholders. The net loss attributable to common stockholders is not allocated to the convertible preferred stock as the holders of those securities do not have a contractual obligation to share in losses. Deemed dividends, if any, on preferred stock are added to net loss to arrive at net loss attributable to common stockholders.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Under the two-class method, basic net loss per share attributable to common stockholders is computed by dividing the net loss attributable to common stockholders by the weighted-average number of shares of common stock outstanding during the period, without consideration of potential dilutive securities. Diluted net loss per share attributable to common stockholders is calculated by dividing the net loss attributable to common stockholders by the weighted-average number of shares of common stock and potential dilutive common stock equivalents outstanding during the period if the effect is dilutive. During all periods presented, the Company incurred net losses attributable to common stockholders. Accordingly, the effect of any common stock equivalents would have been anti-dilutive during those periods and are not included in the calculation of diluted net loss per share attributable to common stockholders. Included in the weighted-average shares of common stock outstanding for the three months ended June 30, 2026 and 2025 were 428,560 vested shares, respectively, related to a warrant to purchase the Company’s common stock at an exercise price of $0.01 per share (‘‘Penny Warrants’’).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rPr>
      </w:pPr>
      <w:r>
        <w:rPr>
          <w:rFonts w:ascii="Times New Roman" w:hAnsi="Times New Roman"/>
          <w:color w:val="000000"/>
          <w:sz w:val="20"/>
        </w:rPr>
        <w:t>Basic and diluted net loss per share attributable to common stockholders is calculated as follows (in thousands, except share and per share amounts):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6" w:name="ze3f37292ade343a29941036115223fde"/>
      <w:bookmarkStart w:id="107" w:name="ze3f37292ade343a29941036115223fde"/>
      <w:bookmarkEnd w:id="107"/>
    </w:p>
    <w:tbl>
      <w:tblPr>
        <w:tblW w:w="10205" w:type="dxa"/>
        <w:jc w:val="left"/>
        <w:tblInd w:w="0" w:type="dxa"/>
        <w:tblLayout w:type="fixed"/>
        <w:tblCellMar>
          <w:top w:w="0" w:type="dxa"/>
          <w:left w:w="0" w:type="dxa"/>
          <w:bottom w:w="0" w:type="dxa"/>
          <w:right w:w="0" w:type="dxa"/>
        </w:tblCellMar>
      </w:tblPr>
      <w:tblGrid>
        <w:gridCol w:w="4559"/>
        <w:gridCol w:w="60"/>
        <w:gridCol w:w="143"/>
        <w:gridCol w:w="1127"/>
        <w:gridCol w:w="97"/>
        <w:gridCol w:w="61"/>
        <w:gridCol w:w="143"/>
        <w:gridCol w:w="1127"/>
        <w:gridCol w:w="95"/>
        <w:gridCol w:w="60"/>
        <w:gridCol w:w="140"/>
        <w:gridCol w:w="1100"/>
        <w:gridCol w:w="95"/>
        <w:gridCol w:w="60"/>
        <w:gridCol w:w="140"/>
        <w:gridCol w:w="1100"/>
        <w:gridCol w:w="98"/>
      </w:tblGrid>
      <w:tr>
        <w:trPr/>
        <w:tc>
          <w:tcPr>
            <w:tcW w:w="45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8"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Months Ended June</w:t>
            </w:r>
          </w:p>
          <w:p>
            <w:pPr>
              <w:pStyle w:val="TableContents"/>
              <w:bidi w:val="0"/>
              <w:spacing w:before="0" w:after="0"/>
              <w:jc w:val="center"/>
              <w:rPr>
                <w:b/>
                <w:color w:val="000000"/>
              </w:rPr>
            </w:pPr>
            <w:r>
              <w:rPr>
                <w:b/>
                <w:color w:val="000000"/>
              </w:rPr>
              <w:t>30,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Six Months Ended June</w:t>
            </w:r>
          </w:p>
          <w:p>
            <w:pPr>
              <w:pStyle w:val="TableContents"/>
              <w:bidi w:val="0"/>
              <w:spacing w:before="0" w:after="0"/>
              <w:jc w:val="center"/>
              <w:rPr>
                <w:b/>
                <w:color w:val="000000"/>
              </w:rPr>
            </w:pPr>
            <w:r>
              <w:rPr>
                <w:b/>
                <w:color w:val="000000"/>
              </w:rPr>
              <w:t>30,</w:t>
            </w:r>
          </w:p>
        </w:tc>
        <w:tc>
          <w:tcPr>
            <w:tcW w:w="98" w:type="dxa"/>
            <w:tcBorders/>
            <w:vAlign w:val="bottom"/>
          </w:tcPr>
          <w:p>
            <w:pPr>
              <w:pStyle w:val="TableContents"/>
              <w:bidi w:val="0"/>
              <w:spacing w:before="0" w:after="283"/>
              <w:jc w:val="left"/>
              <w:rPr/>
            </w:pPr>
            <w:r>
              <w:rPr/>
              <w:t> </w:t>
            </w:r>
          </w:p>
        </w:tc>
      </w:tr>
      <w:tr>
        <w:trPr/>
        <w:tc>
          <w:tcPr>
            <w:tcW w:w="45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9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27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98" w:type="dxa"/>
            <w:tcBorders/>
            <w:vAlign w:val="bottom"/>
          </w:tcPr>
          <w:p>
            <w:pPr>
              <w:pStyle w:val="TableContents"/>
              <w:bidi w:val="0"/>
              <w:spacing w:before="0" w:after="283"/>
              <w:jc w:val="left"/>
              <w:rPr/>
            </w:pPr>
            <w:r>
              <w:rPr/>
              <w:t> </w:t>
            </w:r>
          </w:p>
        </w:tc>
      </w:tr>
      <w:tr>
        <w:trPr/>
        <w:tc>
          <w:tcPr>
            <w:tcW w:w="4559" w:type="dxa"/>
            <w:tcBorders/>
            <w:vAlign w:val="bottom"/>
          </w:tcPr>
          <w:p>
            <w:pPr>
              <w:pStyle w:val="TableContents"/>
              <w:bidi w:val="0"/>
              <w:spacing w:before="0" w:after="0"/>
              <w:ind w:left="0" w:right="62" w:hanging="0"/>
              <w:jc w:val="both"/>
              <w:rPr>
                <w:color w:val="000000"/>
              </w:rPr>
            </w:pPr>
            <w:r>
              <w:rPr>
                <w:color w:val="000000"/>
              </w:rPr>
              <w:t>Numerator:</w:t>
            </w:r>
          </w:p>
        </w:tc>
        <w:tc>
          <w:tcPr>
            <w:tcW w:w="60" w:type="dxa"/>
            <w:tcBorders/>
            <w:vAlign w:val="bottom"/>
          </w:tcPr>
          <w:p>
            <w:pPr>
              <w:pStyle w:val="TableContents"/>
              <w:bidi w:val="0"/>
              <w:spacing w:before="0" w:after="283"/>
              <w:jc w:val="left"/>
              <w:rPr/>
            </w:pPr>
            <w:r>
              <w:rPr/>
              <w:t> </w:t>
            </w:r>
          </w:p>
        </w:tc>
        <w:tc>
          <w:tcPr>
            <w:tcW w:w="1270"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270"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r>
      <w:tr>
        <w:trPr/>
        <w:tc>
          <w:tcPr>
            <w:tcW w:w="4559" w:type="dxa"/>
            <w:tcBorders/>
            <w:shd w:fill="CCEEFF" w:val="clear"/>
            <w:vAlign w:val="bottom"/>
          </w:tcPr>
          <w:p>
            <w:pPr>
              <w:pStyle w:val="TableContents"/>
              <w:bidi w:val="0"/>
              <w:spacing w:before="0" w:after="0"/>
              <w:ind w:left="180" w:right="0" w:hanging="0"/>
              <w:jc w:val="left"/>
              <w:rPr>
                <w:color w:val="000000"/>
              </w:rPr>
            </w:pPr>
            <w:r>
              <w:rPr>
                <w:color w:val="000000"/>
              </w:rPr>
              <w:t>Net loss</w:t>
            </w:r>
          </w:p>
        </w:tc>
        <w:tc>
          <w:tcPr>
            <w:tcW w:w="60" w:type="dxa"/>
            <w:tcBorders/>
            <w:shd w:fill="CCEEFF" w:val="clear"/>
            <w:vAlign w:val="bottom"/>
          </w:tcPr>
          <w:p>
            <w:pPr>
              <w:pStyle w:val="TableContents"/>
              <w:bidi w:val="0"/>
              <w:spacing w:before="0" w:after="283"/>
              <w:jc w:val="right"/>
              <w:rPr/>
            </w:pPr>
            <w:r>
              <w:rPr/>
              <w:t> </w:t>
            </w:r>
          </w:p>
        </w:tc>
        <w:tc>
          <w:tcPr>
            <w:tcW w:w="143"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27"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(69,029</w:t>
            </w:r>
          </w:p>
        </w:tc>
        <w:tc>
          <w:tcPr>
            <w:tcW w:w="97" w:type="dxa"/>
            <w:tcBorders/>
            <w:shd w:fill="CCEEFF" w:val="clear"/>
            <w:vAlign w:val="bottom"/>
          </w:tcPr>
          <w:p>
            <w:pPr>
              <w:pStyle w:val="TableContents"/>
              <w:bidi w:val="0"/>
              <w:spacing w:before="0" w:after="0"/>
              <w:jc w:val="left"/>
              <w:rPr>
                <w:color w:val="000000"/>
              </w:rPr>
            </w:pPr>
            <w:r>
              <w:rPr>
                <w:color w:val="000000"/>
              </w:rPr>
              <w:t>)</w:t>
            </w:r>
          </w:p>
        </w:tc>
        <w:tc>
          <w:tcPr>
            <w:tcW w:w="61" w:type="dxa"/>
            <w:tcBorders/>
            <w:shd w:fill="CCEEFF" w:val="clear"/>
            <w:vAlign w:val="bottom"/>
          </w:tcPr>
          <w:p>
            <w:pPr>
              <w:pStyle w:val="TableContents"/>
              <w:bidi w:val="0"/>
              <w:spacing w:before="0" w:after="283"/>
              <w:jc w:val="right"/>
              <w:rPr/>
            </w:pPr>
            <w:r>
              <w:rPr/>
              <w:t> </w:t>
            </w:r>
          </w:p>
        </w:tc>
        <w:tc>
          <w:tcPr>
            <w:tcW w:w="143"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27"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(58,731</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0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(132,588</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0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(116,605</w:t>
            </w:r>
          </w:p>
        </w:tc>
        <w:tc>
          <w:tcPr>
            <w:tcW w:w="98" w:type="dxa"/>
            <w:tcBorders/>
            <w:shd w:fill="CCEEFF" w:val="clear"/>
            <w:vAlign w:val="bottom"/>
          </w:tcPr>
          <w:p>
            <w:pPr>
              <w:pStyle w:val="TableContents"/>
              <w:bidi w:val="0"/>
              <w:spacing w:before="0" w:after="0"/>
              <w:jc w:val="left"/>
              <w:rPr>
                <w:color w:val="000000"/>
              </w:rPr>
            </w:pPr>
            <w:r>
              <w:rPr>
                <w:color w:val="000000"/>
              </w:rPr>
              <w:t>)</w:t>
            </w:r>
          </w:p>
        </w:tc>
      </w:tr>
      <w:tr>
        <w:trPr/>
        <w:tc>
          <w:tcPr>
            <w:tcW w:w="4559" w:type="dxa"/>
            <w:tcBorders/>
            <w:vAlign w:val="bottom"/>
          </w:tcPr>
          <w:p>
            <w:pPr>
              <w:pStyle w:val="TableContents"/>
              <w:bidi w:val="0"/>
              <w:spacing w:before="0" w:after="0"/>
              <w:ind w:left="0" w:right="62" w:hanging="0"/>
              <w:jc w:val="both"/>
              <w:rPr>
                <w:color w:val="000000"/>
              </w:rPr>
            </w:pPr>
            <w:r>
              <w:rPr>
                <w:color w:val="000000"/>
              </w:rPr>
              <w:t>Denominator:</w:t>
            </w:r>
          </w:p>
        </w:tc>
        <w:tc>
          <w:tcPr>
            <w:tcW w:w="60"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pPr>
            <w:r>
              <w:rPr/>
              <w:t> </w:t>
            </w:r>
          </w:p>
        </w:tc>
        <w:tc>
          <w:tcPr>
            <w:tcW w:w="1127"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pPr>
            <w:r>
              <w:rPr/>
              <w:t> </w:t>
            </w:r>
          </w:p>
        </w:tc>
        <w:tc>
          <w:tcPr>
            <w:tcW w:w="1127"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98" w:type="dxa"/>
            <w:tcBorders/>
            <w:vAlign w:val="bottom"/>
          </w:tcPr>
          <w:p>
            <w:pPr>
              <w:pStyle w:val="TableContents"/>
              <w:bidi w:val="0"/>
              <w:spacing w:before="0" w:after="283"/>
              <w:jc w:val="left"/>
              <w:rPr/>
            </w:pPr>
            <w:r>
              <w:rPr/>
              <w:t> </w:t>
            </w:r>
          </w:p>
        </w:tc>
      </w:tr>
      <w:tr>
        <w:trPr/>
        <w:tc>
          <w:tcPr>
            <w:tcW w:w="4559" w:type="dxa"/>
            <w:tcBorders/>
            <w:shd w:fill="CCEEFF" w:val="clear"/>
            <w:vAlign w:val="bottom"/>
          </w:tcPr>
          <w:p>
            <w:pPr>
              <w:pStyle w:val="TableContents"/>
              <w:bidi w:val="0"/>
              <w:spacing w:before="0" w:after="0"/>
              <w:ind w:left="0" w:right="62" w:hanging="0"/>
              <w:jc w:val="both"/>
              <w:rPr>
                <w:color w:val="000000"/>
              </w:rPr>
            </w:pPr>
            <w:r>
              <w:rPr>
                <w:color w:val="000000"/>
              </w:rPr>
              <w:t>Weighted-average shares of common stock outstanding – basic and diluted</w:t>
            </w:r>
          </w:p>
        </w:tc>
        <w:tc>
          <w:tcPr>
            <w:tcW w:w="60" w:type="dxa"/>
            <w:tcBorders/>
            <w:shd w:fill="CCEEFF" w:val="clear"/>
            <w:vAlign w:val="bottom"/>
          </w:tcPr>
          <w:p>
            <w:pPr>
              <w:pStyle w:val="TableContents"/>
              <w:bidi w:val="0"/>
              <w:spacing w:before="0" w:after="283"/>
              <w:jc w:val="right"/>
              <w:rPr/>
            </w:pPr>
            <w:r>
              <w:rPr/>
              <w:t> </w:t>
            </w:r>
          </w:p>
        </w:tc>
        <w:tc>
          <w:tcPr>
            <w:tcW w:w="14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27"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26,696,158</w:t>
            </w:r>
          </w:p>
        </w:tc>
        <w:tc>
          <w:tcPr>
            <w:tcW w:w="9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4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27"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26,439,086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26,696,158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26,423,995</w:t>
            </w:r>
          </w:p>
        </w:tc>
        <w:tc>
          <w:tcPr>
            <w:tcW w:w="98" w:type="dxa"/>
            <w:tcBorders/>
            <w:shd w:fill="CCEEFF" w:val="clear"/>
            <w:vAlign w:val="bottom"/>
          </w:tcPr>
          <w:p>
            <w:pPr>
              <w:pStyle w:val="TableContents"/>
              <w:bidi w:val="0"/>
              <w:spacing w:before="0" w:after="283"/>
              <w:jc w:val="left"/>
              <w:rPr/>
            </w:pPr>
            <w:r>
              <w:rPr/>
              <w:t> </w:t>
            </w:r>
          </w:p>
        </w:tc>
      </w:tr>
      <w:tr>
        <w:trPr/>
        <w:tc>
          <w:tcPr>
            <w:tcW w:w="4559" w:type="dxa"/>
            <w:tcBorders/>
            <w:vAlign w:val="bottom"/>
          </w:tcPr>
          <w:p>
            <w:pPr>
              <w:pStyle w:val="TableContents"/>
              <w:bidi w:val="0"/>
              <w:spacing w:before="0" w:after="0"/>
              <w:ind w:left="0" w:right="62" w:hanging="0"/>
              <w:jc w:val="both"/>
              <w:rPr>
                <w:color w:val="000000"/>
              </w:rPr>
            </w:pPr>
            <w:r>
              <w:rPr>
                <w:color w:val="000000"/>
              </w:rPr>
              <w:t>Net loss per share attributable to common stockholders – basic and diluted</w:t>
            </w:r>
          </w:p>
        </w:tc>
        <w:tc>
          <w:tcPr>
            <w:tcW w:w="60" w:type="dxa"/>
            <w:tcBorders/>
            <w:vAlign w:val="bottom"/>
          </w:tcPr>
          <w:p>
            <w:pPr>
              <w:pStyle w:val="TableContents"/>
              <w:bidi w:val="0"/>
              <w:spacing w:before="0" w:after="283"/>
              <w:jc w:val="right"/>
              <w:rPr/>
            </w:pPr>
            <w:r>
              <w:rPr/>
              <w:t> </w:t>
            </w:r>
          </w:p>
        </w:tc>
        <w:tc>
          <w:tcPr>
            <w:tcW w:w="143"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127"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(2.59</w:t>
            </w:r>
          </w:p>
        </w:tc>
        <w:tc>
          <w:tcPr>
            <w:tcW w:w="97" w:type="dxa"/>
            <w:tcBorders/>
            <w:vAlign w:val="bottom"/>
          </w:tcPr>
          <w:p>
            <w:pPr>
              <w:pStyle w:val="TableContents"/>
              <w:bidi w:val="0"/>
              <w:spacing w:before="0" w:after="0"/>
              <w:jc w:val="left"/>
              <w:rPr>
                <w:color w:val="000000"/>
              </w:rPr>
            </w:pPr>
            <w:r>
              <w:rPr>
                <w:color w:val="000000"/>
              </w:rPr>
              <w:t>)</w:t>
            </w:r>
          </w:p>
        </w:tc>
        <w:tc>
          <w:tcPr>
            <w:tcW w:w="61" w:type="dxa"/>
            <w:tcBorders/>
            <w:vAlign w:val="bottom"/>
          </w:tcPr>
          <w:p>
            <w:pPr>
              <w:pStyle w:val="TableContents"/>
              <w:bidi w:val="0"/>
              <w:spacing w:before="0" w:after="283"/>
              <w:jc w:val="right"/>
              <w:rPr/>
            </w:pPr>
            <w:r>
              <w:rPr/>
              <w:t> </w:t>
            </w:r>
          </w:p>
        </w:tc>
        <w:tc>
          <w:tcPr>
            <w:tcW w:w="143"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127"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(2.22</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10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(4.97</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10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(4.41</w:t>
            </w:r>
          </w:p>
        </w:tc>
        <w:tc>
          <w:tcPr>
            <w:tcW w:w="98" w:type="dxa"/>
            <w:tcBorders/>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22</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following outstanding potentially dilutive securities have been excluded from the calculation of diluted net loss per share, as their effect is anti-dilutive: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08" w:name="z45fec57f14f14c3fbba2248831271a60"/>
      <w:bookmarkStart w:id="109" w:name="z45fec57f14f14c3fbba2248831271a60"/>
      <w:bookmarkEnd w:id="109"/>
    </w:p>
    <w:tbl>
      <w:tblPr>
        <w:tblW w:w="10028" w:type="dxa"/>
        <w:jc w:val="left"/>
        <w:tblInd w:w="0" w:type="dxa"/>
        <w:tblLayout w:type="fixed"/>
        <w:tblCellMar>
          <w:top w:w="0" w:type="dxa"/>
          <w:left w:w="0" w:type="dxa"/>
          <w:bottom w:w="0" w:type="dxa"/>
          <w:right w:w="0" w:type="dxa"/>
        </w:tblCellMar>
      </w:tblPr>
      <w:tblGrid>
        <w:gridCol w:w="6380"/>
        <w:gridCol w:w="60"/>
        <w:gridCol w:w="67"/>
        <w:gridCol w:w="1367"/>
        <w:gridCol w:w="60"/>
        <w:gridCol w:w="60"/>
        <w:gridCol w:w="92"/>
        <w:gridCol w:w="1882"/>
        <w:gridCol w:w="60"/>
      </w:tblGrid>
      <w:tr>
        <w:trPr/>
        <w:tc>
          <w:tcPr>
            <w:tcW w:w="63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4" w:type="dxa"/>
            <w:gridSpan w:val="2"/>
            <w:tcBorders>
              <w:bottom w:val="single" w:sz="12" w:space="0" w:color="000000"/>
            </w:tcBorders>
            <w:tcMar>
              <w:bottom w:w="28" w:type="dxa"/>
            </w:tcMar>
            <w:vAlign w:val="bottom"/>
          </w:tcPr>
          <w:p>
            <w:pPr>
              <w:pStyle w:val="TableContents"/>
              <w:bidi w:val="0"/>
              <w:spacing w:before="0" w:after="0"/>
              <w:ind w:left="0" w:right="0" w:firstLine="20"/>
              <w:jc w:val="center"/>
              <w:rPr>
                <w:b/>
              </w:rPr>
            </w:pPr>
            <w:r>
              <w:rPr>
                <w:b/>
              </w:rPr>
              <w:t>June 30, 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74" w:type="dxa"/>
            <w:gridSpan w:val="2"/>
            <w:tcBorders>
              <w:bottom w:val="single" w:sz="12" w:space="0" w:color="000000"/>
            </w:tcBorders>
            <w:tcMar>
              <w:bottom w:w="28" w:type="dxa"/>
            </w:tcMar>
            <w:vAlign w:val="bottom"/>
          </w:tcPr>
          <w:p>
            <w:pPr>
              <w:pStyle w:val="TableContents"/>
              <w:bidi w:val="0"/>
              <w:spacing w:before="0" w:after="0"/>
              <w:ind w:left="0" w:right="0" w:firstLine="20"/>
              <w:jc w:val="center"/>
              <w:rPr>
                <w:b/>
              </w:rPr>
            </w:pPr>
            <w:r>
              <w:rPr>
                <w:b/>
              </w:rPr>
              <w:t>December 31, 2025</w:t>
            </w:r>
          </w:p>
        </w:tc>
        <w:tc>
          <w:tcPr>
            <w:tcW w:w="60" w:type="dxa"/>
            <w:tcBorders/>
            <w:vAlign w:val="bottom"/>
          </w:tcPr>
          <w:p>
            <w:pPr>
              <w:pStyle w:val="TableContents"/>
              <w:bidi w:val="0"/>
              <w:spacing w:before="0" w:after="283"/>
              <w:jc w:val="left"/>
              <w:rPr/>
            </w:pPr>
            <w:r>
              <w:rPr/>
              <w:t> </w:t>
            </w:r>
          </w:p>
        </w:tc>
      </w:tr>
      <w:tr>
        <w:trPr/>
        <w:tc>
          <w:tcPr>
            <w:tcW w:w="6380" w:type="dxa"/>
            <w:tcBorders/>
            <w:shd w:fill="CCEEFF" w:val="clear"/>
            <w:vAlign w:val="bottom"/>
          </w:tcPr>
          <w:p>
            <w:pPr>
              <w:pStyle w:val="TableContents"/>
              <w:bidi w:val="0"/>
              <w:spacing w:before="0" w:after="0"/>
              <w:jc w:val="both"/>
              <w:rPr>
                <w:color w:val="000000"/>
              </w:rPr>
            </w:pPr>
            <w:r>
              <w:rPr>
                <w:color w:val="000000"/>
              </w:rPr>
              <w:t>Convertible preferred stock, common stock equivalent, if converted</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367" w:type="dxa"/>
            <w:tcBorders/>
            <w:shd w:fill="CCEEFF" w:val="clear"/>
            <w:vAlign w:val="bottom"/>
          </w:tcPr>
          <w:p>
            <w:pPr>
              <w:pStyle w:val="TableContents"/>
              <w:bidi w:val="0"/>
              <w:spacing w:before="0" w:after="0"/>
              <w:jc w:val="right"/>
              <w:rPr>
                <w:color w:val="000000"/>
              </w:rPr>
            </w:pPr>
            <w:r>
              <w:rPr>
                <w:color w:val="000000"/>
              </w:rPr>
              <w:t>213,907,881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882" w:type="dxa"/>
            <w:tcBorders/>
            <w:shd w:fill="CCEEFF" w:val="clear"/>
            <w:vAlign w:val="bottom"/>
          </w:tcPr>
          <w:p>
            <w:pPr>
              <w:pStyle w:val="TableContents"/>
              <w:bidi w:val="0"/>
              <w:spacing w:before="0" w:after="0"/>
              <w:jc w:val="right"/>
              <w:rPr>
                <w:color w:val="000000"/>
              </w:rPr>
            </w:pPr>
            <w:r>
              <w:rPr>
                <w:color w:val="000000"/>
              </w:rPr>
              <w:t>213,907,881</w:t>
            </w:r>
          </w:p>
        </w:tc>
        <w:tc>
          <w:tcPr>
            <w:tcW w:w="60" w:type="dxa"/>
            <w:tcBorders/>
            <w:shd w:fill="CCEEFF" w:val="clear"/>
            <w:vAlign w:val="bottom"/>
          </w:tcPr>
          <w:p>
            <w:pPr>
              <w:pStyle w:val="TableContents"/>
              <w:bidi w:val="0"/>
              <w:spacing w:before="0" w:after="283"/>
              <w:jc w:val="left"/>
              <w:rPr/>
            </w:pPr>
            <w:r>
              <w:rPr/>
              <w:t> </w:t>
            </w:r>
          </w:p>
        </w:tc>
      </w:tr>
      <w:tr>
        <w:trPr/>
        <w:tc>
          <w:tcPr>
            <w:tcW w:w="6380" w:type="dxa"/>
            <w:tcBorders/>
            <w:vAlign w:val="bottom"/>
          </w:tcPr>
          <w:p>
            <w:pPr>
              <w:pStyle w:val="TableContents"/>
              <w:bidi w:val="0"/>
              <w:spacing w:before="0" w:after="0"/>
              <w:jc w:val="both"/>
              <w:rPr>
                <w:color w:val="000000"/>
              </w:rPr>
            </w:pPr>
            <w:r>
              <w:rPr>
                <w:color w:val="000000"/>
              </w:rPr>
              <w:t>Options to purchase common stock</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367" w:type="dxa"/>
            <w:tcBorders/>
            <w:vAlign w:val="bottom"/>
          </w:tcPr>
          <w:p>
            <w:pPr>
              <w:pStyle w:val="TableContents"/>
              <w:bidi w:val="0"/>
              <w:spacing w:before="0" w:after="0"/>
              <w:jc w:val="right"/>
              <w:rPr>
                <w:color w:val="000000"/>
              </w:rPr>
            </w:pPr>
            <w:r>
              <w:rPr>
                <w:color w:val="000000"/>
              </w:rPr>
              <w:t>29,244,110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882" w:type="dxa"/>
            <w:tcBorders/>
            <w:vAlign w:val="bottom"/>
          </w:tcPr>
          <w:p>
            <w:pPr>
              <w:pStyle w:val="TableContents"/>
              <w:bidi w:val="0"/>
              <w:spacing w:before="0" w:after="0"/>
              <w:jc w:val="right"/>
              <w:rPr>
                <w:color w:val="000000"/>
              </w:rPr>
            </w:pPr>
            <w:r>
              <w:rPr>
                <w:color w:val="000000"/>
              </w:rPr>
              <w:t>29,512,900</w:t>
            </w:r>
          </w:p>
        </w:tc>
        <w:tc>
          <w:tcPr>
            <w:tcW w:w="60" w:type="dxa"/>
            <w:tcBorders/>
            <w:vAlign w:val="bottom"/>
          </w:tcPr>
          <w:p>
            <w:pPr>
              <w:pStyle w:val="TableContents"/>
              <w:bidi w:val="0"/>
              <w:spacing w:before="0" w:after="283"/>
              <w:jc w:val="left"/>
              <w:rPr/>
            </w:pPr>
            <w:r>
              <w:rPr/>
              <w:t> </w:t>
            </w:r>
          </w:p>
        </w:tc>
      </w:tr>
      <w:tr>
        <w:trPr/>
        <w:tc>
          <w:tcPr>
            <w:tcW w:w="6380" w:type="dxa"/>
            <w:tcBorders/>
            <w:shd w:fill="CCEEFF" w:val="clear"/>
            <w:vAlign w:val="bottom"/>
          </w:tcPr>
          <w:p>
            <w:pPr>
              <w:pStyle w:val="TableContents"/>
              <w:bidi w:val="0"/>
              <w:spacing w:before="0" w:after="0"/>
              <w:jc w:val="both"/>
              <w:rPr/>
            </w:pPr>
            <w:r>
              <w:rPr/>
              <w:t>Restricted stock units issued and outstanding</w:t>
            </w:r>
          </w:p>
        </w:tc>
        <w:tc>
          <w:tcPr>
            <w:tcW w:w="6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367" w:type="dxa"/>
            <w:tcBorders/>
            <w:shd w:fill="CCEEFF" w:val="clear"/>
            <w:vAlign w:val="bottom"/>
          </w:tcPr>
          <w:p>
            <w:pPr>
              <w:pStyle w:val="TableContents"/>
              <w:bidi w:val="0"/>
              <w:spacing w:before="0" w:after="0"/>
              <w:jc w:val="right"/>
              <w:rPr/>
            </w:pPr>
            <w:r>
              <w:rPr/>
              <w:t>14,262,838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882" w:type="dxa"/>
            <w:tcBorders/>
            <w:shd w:fill="CCEEFF" w:val="clear"/>
            <w:vAlign w:val="bottom"/>
          </w:tcPr>
          <w:p>
            <w:pPr>
              <w:pStyle w:val="TableContents"/>
              <w:bidi w:val="0"/>
              <w:spacing w:before="0" w:after="0"/>
              <w:jc w:val="right"/>
              <w:rPr/>
            </w:pPr>
            <w:r>
              <w:rPr/>
              <w:t>14,472,242</w:t>
            </w:r>
          </w:p>
        </w:tc>
        <w:tc>
          <w:tcPr>
            <w:tcW w:w="60" w:type="dxa"/>
            <w:tcBorders/>
            <w:shd w:fill="CCEEFF" w:val="clear"/>
            <w:vAlign w:val="bottom"/>
          </w:tcPr>
          <w:p>
            <w:pPr>
              <w:pStyle w:val="TableContents"/>
              <w:bidi w:val="0"/>
              <w:spacing w:before="0" w:after="283"/>
              <w:jc w:val="left"/>
              <w:rPr/>
            </w:pPr>
            <w:r>
              <w:rPr/>
              <w:t> </w:t>
            </w:r>
          </w:p>
        </w:tc>
      </w:tr>
      <w:tr>
        <w:trPr/>
        <w:tc>
          <w:tcPr>
            <w:tcW w:w="6380" w:type="dxa"/>
            <w:tcBorders/>
            <w:vAlign w:val="bottom"/>
          </w:tcPr>
          <w:p>
            <w:pPr>
              <w:pStyle w:val="TableContents"/>
              <w:bidi w:val="0"/>
              <w:spacing w:before="0" w:after="0"/>
              <w:jc w:val="both"/>
              <w:rPr/>
            </w:pPr>
            <w:r>
              <w:rPr/>
              <w:t>Warrants to purchase common stock</w:t>
            </w:r>
          </w:p>
        </w:tc>
        <w:tc>
          <w:tcPr>
            <w:tcW w:w="6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367" w:type="dxa"/>
            <w:tcBorders/>
            <w:vAlign w:val="bottom"/>
          </w:tcPr>
          <w:p>
            <w:pPr>
              <w:pStyle w:val="TableContents"/>
              <w:bidi w:val="0"/>
              <w:spacing w:before="0" w:after="0"/>
              <w:jc w:val="right"/>
              <w:rPr/>
            </w:pPr>
            <w:r>
              <w:rPr/>
              <w:t>49,500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882" w:type="dxa"/>
            <w:tcBorders/>
            <w:vAlign w:val="bottom"/>
          </w:tcPr>
          <w:p>
            <w:pPr>
              <w:pStyle w:val="TableContents"/>
              <w:bidi w:val="0"/>
              <w:spacing w:before="0" w:after="0"/>
              <w:jc w:val="right"/>
              <w:rPr/>
            </w:pPr>
            <w:r>
              <w:rPr/>
              <w:t>49,500</w:t>
            </w:r>
          </w:p>
        </w:tc>
        <w:tc>
          <w:tcPr>
            <w:tcW w:w="60" w:type="dxa"/>
            <w:tcBorders/>
            <w:vAlign w:val="bottom"/>
          </w:tcPr>
          <w:p>
            <w:pPr>
              <w:pStyle w:val="TableContents"/>
              <w:bidi w:val="0"/>
              <w:spacing w:before="0" w:after="283"/>
              <w:jc w:val="left"/>
              <w:rPr/>
            </w:pPr>
            <w:r>
              <w:rPr/>
              <w:t> </w:t>
            </w:r>
          </w:p>
        </w:tc>
      </w:tr>
      <w:tr>
        <w:trPr/>
        <w:tc>
          <w:tcPr>
            <w:tcW w:w="6380" w:type="dxa"/>
            <w:tcBorders/>
            <w:shd w:fill="CCEEFF" w:val="clear"/>
            <w:vAlign w:val="bottom"/>
          </w:tcPr>
          <w:p>
            <w:pPr>
              <w:pStyle w:val="TableContents"/>
              <w:bidi w:val="0"/>
              <w:spacing w:before="0" w:after="0"/>
              <w:jc w:val="both"/>
              <w:rPr/>
            </w:pPr>
            <w:r>
              <w:rPr/>
              <w:t>Convertible notes</w:t>
            </w:r>
          </w:p>
        </w:tc>
        <w:tc>
          <w:tcPr>
            <w:tcW w:w="60" w:type="dxa"/>
            <w:tcBorders/>
            <w:shd w:fill="CCEEFF" w:val="clear"/>
            <w:vAlign w:val="bottom"/>
          </w:tcPr>
          <w:p>
            <w:pPr>
              <w:pStyle w:val="TableContents"/>
              <w:bidi w:val="0"/>
              <w:spacing w:before="0" w:after="283"/>
              <w:jc w:val="left"/>
              <w:rPr/>
            </w:pPr>
            <w:r>
              <w:rPr/>
              <w:t> </w:t>
            </w:r>
          </w:p>
        </w:tc>
        <w:tc>
          <w:tcPr>
            <w:tcW w:w="6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67" w:type="dxa"/>
            <w:tcBorders>
              <w:bottom w:val="single" w:sz="12" w:space="0" w:color="000000"/>
            </w:tcBorders>
            <w:shd w:fill="CCEEFF" w:val="clear"/>
            <w:tcMar>
              <w:bottom w:w="28" w:type="dxa"/>
            </w:tcMar>
            <w:vAlign w:val="bottom"/>
          </w:tcPr>
          <w:p>
            <w:pPr>
              <w:pStyle w:val="TableContents"/>
              <w:bidi w:val="0"/>
              <w:spacing w:before="0" w:after="0"/>
              <w:jc w:val="right"/>
              <w:rPr/>
            </w:pPr>
            <w:r>
              <w:rPr/>
              <w:t>17,208,781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882" w:type="dxa"/>
            <w:tcBorders>
              <w:bottom w:val="single" w:sz="12" w:space="0" w:color="000000"/>
            </w:tcBorders>
            <w:shd w:fill="CCEEFF" w:val="clear"/>
            <w:tcMar>
              <w:bottom w:w="28" w:type="dxa"/>
            </w:tcMar>
            <w:vAlign w:val="bottom"/>
          </w:tcPr>
          <w:p>
            <w:pPr>
              <w:pStyle w:val="TableContents"/>
              <w:bidi w:val="0"/>
              <w:spacing w:before="0" w:after="0"/>
              <w:jc w:val="right"/>
              <w:rPr/>
            </w:pPr>
            <w:r>
              <w:rPr/>
              <w:t>17,170,902</w:t>
            </w:r>
          </w:p>
        </w:tc>
        <w:tc>
          <w:tcPr>
            <w:tcW w:w="60" w:type="dxa"/>
            <w:tcBorders/>
            <w:shd w:fill="CCEEFF" w:val="clear"/>
            <w:vAlign w:val="bottom"/>
          </w:tcPr>
          <w:p>
            <w:pPr>
              <w:pStyle w:val="TableContents"/>
              <w:bidi w:val="0"/>
              <w:spacing w:before="0" w:after="283"/>
              <w:jc w:val="left"/>
              <w:rPr/>
            </w:pPr>
            <w:r>
              <w:rPr/>
              <w:t> </w:t>
            </w:r>
          </w:p>
        </w:tc>
      </w:tr>
      <w:tr>
        <w:trPr/>
        <w:tc>
          <w:tcPr>
            <w:tcW w:w="6380" w:type="dxa"/>
            <w:tcBorders/>
            <w:vAlign w:val="bottom"/>
          </w:tcPr>
          <w:p>
            <w:pPr>
              <w:pStyle w:val="TableContents"/>
              <w:bidi w:val="0"/>
              <w:spacing w:before="0" w:after="0"/>
              <w:jc w:val="both"/>
              <w:rPr>
                <w:color w:val="000000"/>
              </w:rPr>
            </w:pPr>
            <w:r>
              <w:rPr>
                <w:color w:val="000000"/>
              </w:rPr>
              <w:t>Total</w:t>
            </w:r>
          </w:p>
        </w:tc>
        <w:tc>
          <w:tcPr>
            <w:tcW w:w="60" w:type="dxa"/>
            <w:tcBorders/>
            <w:vAlign w:val="bottom"/>
          </w:tcPr>
          <w:p>
            <w:pPr>
              <w:pStyle w:val="TableContents"/>
              <w:bidi w:val="0"/>
              <w:spacing w:before="0" w:after="283"/>
              <w:jc w:val="left"/>
              <w:rPr/>
            </w:pPr>
            <w:r>
              <w:rPr/>
              <w:t> </w:t>
            </w:r>
          </w:p>
        </w:tc>
        <w:tc>
          <w:tcPr>
            <w:tcW w:w="67" w:type="dxa"/>
            <w:tcBorders>
              <w:bottom w:val="double" w:sz="8" w:space="0" w:color="000000"/>
            </w:tcBorders>
            <w:tcMar>
              <w:bottom w:w="28" w:type="dxa"/>
            </w:tcMar>
            <w:vAlign w:val="bottom"/>
          </w:tcPr>
          <w:p>
            <w:pPr>
              <w:pStyle w:val="TableContents"/>
              <w:bidi w:val="0"/>
              <w:spacing w:before="0" w:after="283"/>
              <w:jc w:val="left"/>
              <w:rPr/>
            </w:pPr>
            <w:r>
              <w:rPr/>
              <w:t> </w:t>
            </w:r>
          </w:p>
        </w:tc>
        <w:tc>
          <w:tcPr>
            <w:tcW w:w="1367"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274,673,110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 w:type="dxa"/>
            <w:tcBorders>
              <w:bottom w:val="double" w:sz="8" w:space="0" w:color="000000"/>
            </w:tcBorders>
            <w:tcMar>
              <w:bottom w:w="28" w:type="dxa"/>
            </w:tcMar>
            <w:vAlign w:val="bottom"/>
          </w:tcPr>
          <w:p>
            <w:pPr>
              <w:pStyle w:val="TableContents"/>
              <w:bidi w:val="0"/>
              <w:spacing w:before="0" w:after="283"/>
              <w:jc w:val="left"/>
              <w:rPr/>
            </w:pPr>
            <w:r>
              <w:rPr/>
              <w:t> </w:t>
            </w:r>
          </w:p>
        </w:tc>
        <w:tc>
          <w:tcPr>
            <w:tcW w:w="1882"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275,113,425</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bookmarkStart w:id="110" w:name="Section21"/>
      <w:bookmarkEnd w:id="110"/>
      <w:r>
        <w:rPr>
          <w:rFonts w:ascii="Times New Roman" w:hAnsi="Times New Roman"/>
          <w:b/>
          <w:color w:val="000000"/>
          <w:sz w:val="20"/>
        </w:rPr>
        <w:t>Note 13—Commitment and Contingencies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Legal Contingencies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Company may be, from time to time, a party to various disputes and claims arising from normal business activities. The Company accrues for loss contingencies when available information indicates that it is probable that a liability has been incurred and the amount of such liability can be reasonably estimated. For cases in which the Company believes that a reasonably possible loss exists, the Company discloses the facts and circumstances of the loss contingency, including an estimable range, if possible. Management believes that there are currently no claims or actions pending against the Company where the ultimate disposition could have a material adverse effect on the Company’s results of operations, financial condition, or cash flows.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Indemnification Agreements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Company has agreed to indemnify its officers and directors for certain events or occurrences, subject to certain limits, while the officer or director was serving at the Company’s request in such capacity. The maximum amount of potential future indemnification liability is unlimited; however, the Company holds directors’ and officers’ liability insurance which limits the Company’s exposure and may enable it to recover a portion of any future amounts paid.</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In the normal course of business, the Company also enters into contracts and agreements with service providers and other parties with which it conducts business that contain indemnification provisions pursuant to which the Company has agreed to indemnify the party against certain types of third-party claims. From time to time, the Company may receive indemnification claims under these contracts in the normal course of business. The Company has not experienced any material losses related to these indemnification provisions and has no material claims with respect thereto. The Company does not expect significant claims related to these indemnification provisions and, consequently, concluded that the fair value of any obligations is negligible, and no related accruals have been established. In the event that one or more of these matters were to result in a claim against the Company, an adverse outcome, including a judgment or settlement, may cause a material adverse effect on the Company’s future business, operating results, or financial condition.</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Purchase Commitments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the normal course of business, the Company enters into agreements containing noncancellable purchase commitments for goods and services with various parties. As of June 30, 2026, the Company has a noncancellable cloud services agreement and has committed to purchase cloud computing services totaling $119.1 million over the remaining period of the agreement through January 31, 2029. Other noncancellable unconditional purchase commitments having a remaining term over one year were as follows (in thousands):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11" w:name="ze2737633cb514bceb222829db93f7d7d"/>
      <w:bookmarkStart w:id="112" w:name="ze2737633cb514bceb222829db93f7d7d"/>
      <w:bookmarkEnd w:id="112"/>
    </w:p>
    <w:tbl>
      <w:tblPr>
        <w:tblW w:w="3735" w:type="dxa"/>
        <w:jc w:val="left"/>
        <w:tblInd w:w="0" w:type="dxa"/>
        <w:tblLayout w:type="fixed"/>
        <w:tblCellMar>
          <w:top w:w="0" w:type="dxa"/>
          <w:left w:w="0" w:type="dxa"/>
          <w:bottom w:w="0" w:type="dxa"/>
          <w:right w:w="0" w:type="dxa"/>
        </w:tblCellMar>
      </w:tblPr>
      <w:tblGrid>
        <w:gridCol w:w="2795"/>
        <w:gridCol w:w="60"/>
        <w:gridCol w:w="140"/>
        <w:gridCol w:w="680"/>
        <w:gridCol w:w="60"/>
      </w:tblGrid>
      <w:tr>
        <w:trPr/>
        <w:tc>
          <w:tcPr>
            <w:tcW w:w="2795" w:type="dxa"/>
            <w:tcBorders/>
            <w:vAlign w:val="bottom"/>
          </w:tcPr>
          <w:p>
            <w:pPr>
              <w:pStyle w:val="TableContents"/>
              <w:bidi w:val="0"/>
              <w:spacing w:before="0" w:after="0"/>
              <w:jc w:val="left"/>
              <w:rPr>
                <w:b/>
              </w:rPr>
            </w:pPr>
            <w:r>
              <w:rPr>
                <w:b/>
              </w:rPr>
              <w:t>Year Ending December 31,</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2795" w:type="dxa"/>
            <w:tcBorders/>
            <w:shd w:fill="CCEEFF" w:val="clear"/>
            <w:vAlign w:val="bottom"/>
          </w:tcPr>
          <w:p>
            <w:pPr>
              <w:pStyle w:val="TableContents"/>
              <w:bidi w:val="0"/>
              <w:spacing w:before="0" w:after="0"/>
              <w:jc w:val="left"/>
              <w:rPr/>
            </w:pPr>
            <w:r>
              <w:rPr/>
              <w:t>2026 (remainder of year)</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680" w:type="dxa"/>
            <w:tcBorders/>
            <w:shd w:fill="CCEEFF" w:val="clear"/>
            <w:vAlign w:val="bottom"/>
          </w:tcPr>
          <w:p>
            <w:pPr>
              <w:pStyle w:val="TableContents"/>
              <w:bidi w:val="0"/>
              <w:spacing w:before="0" w:after="0"/>
              <w:jc w:val="right"/>
              <w:rPr/>
            </w:pPr>
            <w:r>
              <w:rPr/>
              <w:t>4,159</w:t>
            </w:r>
          </w:p>
        </w:tc>
        <w:tc>
          <w:tcPr>
            <w:tcW w:w="60" w:type="dxa"/>
            <w:tcBorders/>
            <w:shd w:fill="CCEEFF" w:val="clear"/>
            <w:vAlign w:val="bottom"/>
          </w:tcPr>
          <w:p>
            <w:pPr>
              <w:pStyle w:val="TableContents"/>
              <w:bidi w:val="0"/>
              <w:spacing w:before="0" w:after="283"/>
              <w:jc w:val="left"/>
              <w:rPr/>
            </w:pPr>
            <w:r>
              <w:rPr/>
              <w:t> </w:t>
            </w:r>
          </w:p>
        </w:tc>
      </w:tr>
      <w:tr>
        <w:trPr/>
        <w:tc>
          <w:tcPr>
            <w:tcW w:w="2795" w:type="dxa"/>
            <w:tcBorders/>
            <w:vAlign w:val="bottom"/>
          </w:tcPr>
          <w:p>
            <w:pPr>
              <w:pStyle w:val="TableContents"/>
              <w:bidi w:val="0"/>
              <w:spacing w:before="0" w:after="0"/>
              <w:jc w:val="left"/>
              <w:rPr/>
            </w:pPr>
            <w:r>
              <w:rPr/>
              <w:t>2027</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pPr>
            <w:r>
              <w:rPr/>
              <w:t>8,250</w:t>
            </w:r>
          </w:p>
        </w:tc>
        <w:tc>
          <w:tcPr>
            <w:tcW w:w="60" w:type="dxa"/>
            <w:tcBorders/>
            <w:vAlign w:val="bottom"/>
          </w:tcPr>
          <w:p>
            <w:pPr>
              <w:pStyle w:val="TableContents"/>
              <w:bidi w:val="0"/>
              <w:spacing w:before="0" w:after="283"/>
              <w:jc w:val="left"/>
              <w:rPr/>
            </w:pPr>
            <w:r>
              <w:rPr/>
              <w:t> </w:t>
            </w:r>
          </w:p>
        </w:tc>
      </w:tr>
      <w:tr>
        <w:trPr/>
        <w:tc>
          <w:tcPr>
            <w:tcW w:w="27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680" w:type="dxa"/>
            <w:tcBorders>
              <w:bottom w:val="double" w:sz="8" w:space="0" w:color="000000"/>
            </w:tcBorders>
            <w:shd w:fill="CCEEFF" w:val="clear"/>
            <w:tcMar>
              <w:bottom w:w="28" w:type="dxa"/>
            </w:tcMar>
            <w:vAlign w:val="bottom"/>
          </w:tcPr>
          <w:p>
            <w:pPr>
              <w:pStyle w:val="TableContents"/>
              <w:bidi w:val="0"/>
              <w:spacing w:before="0" w:after="0"/>
              <w:jc w:val="right"/>
              <w:rPr/>
            </w:pPr>
            <w:r>
              <w:rPr/>
              <w:t>12,409</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23</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Note 14—Leases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Company’s lease portfolio consists primarily of operating leases for its current corporate headquarters, laboratory facilities, and warehouse facilities, with lease terms ranging from 1 to 11 years. Certain of the Company’s operating leases contain optional renewal periods to extend the lease terms, which are not reasonably assured. The Company’s operating leases include various covenants, indemnities, defaults, termination rights, security deposits and other provisions customary for lease transactions of this nature.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Company’s most significant operating lease pertains to an 11-year lease agreement for approximately 335,419 square feet used as its corporate headquarters, office, and laboratory space in two buildings (building I and building III) located in Brisbane, California. The lease will continue for an initial term of 11 years, with options to extend the term for two successive five-year periods after the initial expiration date.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components of lease costs, were as follows (in thousands):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13" w:name="z7c8c1f3326d54100966a841bda5a3cc9"/>
      <w:bookmarkStart w:id="114" w:name="z7c8c1f3326d54100966a841bda5a3cc9"/>
      <w:bookmarkEnd w:id="114"/>
    </w:p>
    <w:tbl>
      <w:tblPr>
        <w:tblW w:w="6127" w:type="dxa"/>
        <w:jc w:val="left"/>
        <w:tblInd w:w="0" w:type="dxa"/>
        <w:tblLayout w:type="fixed"/>
        <w:tblCellMar>
          <w:top w:w="0" w:type="dxa"/>
          <w:left w:w="0" w:type="dxa"/>
          <w:bottom w:w="0" w:type="dxa"/>
          <w:right w:w="0" w:type="dxa"/>
        </w:tblCellMar>
      </w:tblPr>
      <w:tblGrid>
        <w:gridCol w:w="3185"/>
        <w:gridCol w:w="60"/>
        <w:gridCol w:w="224"/>
        <w:gridCol w:w="1091"/>
        <w:gridCol w:w="96"/>
        <w:gridCol w:w="96"/>
        <w:gridCol w:w="224"/>
        <w:gridCol w:w="1091"/>
        <w:gridCol w:w="60"/>
      </w:tblGrid>
      <w:tr>
        <w:trPr/>
        <w:tc>
          <w:tcPr>
            <w:tcW w:w="3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22"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Six Months Ended June 30,</w:t>
            </w:r>
          </w:p>
        </w:tc>
        <w:tc>
          <w:tcPr>
            <w:tcW w:w="60" w:type="dxa"/>
            <w:tcBorders/>
            <w:vAlign w:val="bottom"/>
          </w:tcPr>
          <w:p>
            <w:pPr>
              <w:pStyle w:val="TableContents"/>
              <w:bidi w:val="0"/>
              <w:spacing w:before="0" w:after="283"/>
              <w:jc w:val="left"/>
              <w:rPr/>
            </w:pPr>
            <w:r>
              <w:rPr/>
              <w:t> </w:t>
            </w:r>
          </w:p>
        </w:tc>
      </w:tr>
      <w:tr>
        <w:trPr/>
        <w:tc>
          <w:tcPr>
            <w:tcW w:w="3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60" w:type="dxa"/>
            <w:tcBorders/>
            <w:vAlign w:val="bottom"/>
          </w:tcPr>
          <w:p>
            <w:pPr>
              <w:pStyle w:val="TableContents"/>
              <w:bidi w:val="0"/>
              <w:spacing w:before="0" w:after="283"/>
              <w:jc w:val="left"/>
              <w:rPr/>
            </w:pPr>
            <w:r>
              <w:rPr/>
              <w:t> </w:t>
            </w:r>
          </w:p>
        </w:tc>
      </w:tr>
      <w:tr>
        <w:trPr/>
        <w:tc>
          <w:tcPr>
            <w:tcW w:w="3185" w:type="dxa"/>
            <w:tcBorders/>
            <w:shd w:fill="CCEEFF" w:val="clear"/>
            <w:vAlign w:val="bottom"/>
          </w:tcPr>
          <w:p>
            <w:pPr>
              <w:pStyle w:val="TableContents"/>
              <w:bidi w:val="0"/>
              <w:spacing w:before="0" w:after="0"/>
              <w:jc w:val="left"/>
              <w:rPr>
                <w:color w:val="000000"/>
              </w:rPr>
            </w:pPr>
            <w:r>
              <w:rPr>
                <w:color w:val="000000"/>
              </w:rPr>
              <w:t>Operating lease cost</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0"/>
              <w:jc w:val="left"/>
              <w:rPr>
                <w:color w:val="000000"/>
              </w:rPr>
            </w:pPr>
            <w:r>
              <w:rPr>
                <w:color w:val="000000"/>
              </w:rPr>
              <w:t>$</w:t>
            </w:r>
          </w:p>
        </w:tc>
        <w:tc>
          <w:tcPr>
            <w:tcW w:w="1091" w:type="dxa"/>
            <w:tcBorders/>
            <w:shd w:fill="CCEEFF" w:val="clear"/>
            <w:vAlign w:val="bottom"/>
          </w:tcPr>
          <w:p>
            <w:pPr>
              <w:pStyle w:val="TableContents"/>
              <w:bidi w:val="0"/>
              <w:spacing w:before="0" w:after="0"/>
              <w:jc w:val="right"/>
              <w:rPr>
                <w:color w:val="000000"/>
              </w:rPr>
            </w:pPr>
            <w:r>
              <w:rPr>
                <w:color w:val="000000"/>
              </w:rPr>
              <w:t>12,264</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0"/>
              <w:jc w:val="left"/>
              <w:rPr/>
            </w:pPr>
            <w:r>
              <w:rPr/>
              <w:t>$</w:t>
            </w:r>
          </w:p>
        </w:tc>
        <w:tc>
          <w:tcPr>
            <w:tcW w:w="1091" w:type="dxa"/>
            <w:tcBorders/>
            <w:shd w:fill="CCEEFF" w:val="clear"/>
            <w:vAlign w:val="bottom"/>
          </w:tcPr>
          <w:p>
            <w:pPr>
              <w:pStyle w:val="TableContents"/>
              <w:bidi w:val="0"/>
              <w:spacing w:before="0" w:after="0"/>
              <w:jc w:val="right"/>
              <w:rPr/>
            </w:pPr>
            <w:r>
              <w:rPr/>
              <w:t>14,301</w:t>
            </w:r>
          </w:p>
        </w:tc>
        <w:tc>
          <w:tcPr>
            <w:tcW w:w="60" w:type="dxa"/>
            <w:tcBorders/>
            <w:shd w:fill="CCEEFF" w:val="clear"/>
            <w:vAlign w:val="bottom"/>
          </w:tcPr>
          <w:p>
            <w:pPr>
              <w:pStyle w:val="TableContents"/>
              <w:bidi w:val="0"/>
              <w:spacing w:before="0" w:after="283"/>
              <w:jc w:val="left"/>
              <w:rPr/>
            </w:pPr>
            <w:r>
              <w:rPr/>
              <w:t> </w:t>
            </w:r>
          </w:p>
        </w:tc>
      </w:tr>
      <w:tr>
        <w:trPr/>
        <w:tc>
          <w:tcPr>
            <w:tcW w:w="3185" w:type="dxa"/>
            <w:tcBorders/>
            <w:vAlign w:val="bottom"/>
          </w:tcPr>
          <w:p>
            <w:pPr>
              <w:pStyle w:val="TableContents"/>
              <w:bidi w:val="0"/>
              <w:spacing w:before="0" w:after="0"/>
              <w:jc w:val="left"/>
              <w:rPr/>
            </w:pPr>
            <w:r>
              <w:rPr/>
              <w:t>Variable lease cost</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091" w:type="dxa"/>
            <w:tcBorders/>
            <w:vAlign w:val="bottom"/>
          </w:tcPr>
          <w:p>
            <w:pPr>
              <w:pStyle w:val="TableContents"/>
              <w:bidi w:val="0"/>
              <w:spacing w:before="0" w:after="0"/>
              <w:jc w:val="right"/>
              <w:rPr/>
            </w:pPr>
            <w:r>
              <w:rPr/>
              <w:t>5,174</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091" w:type="dxa"/>
            <w:tcBorders/>
            <w:vAlign w:val="bottom"/>
          </w:tcPr>
          <w:p>
            <w:pPr>
              <w:pStyle w:val="TableContents"/>
              <w:bidi w:val="0"/>
              <w:spacing w:before="0" w:after="0"/>
              <w:jc w:val="right"/>
              <w:rPr>
                <w:color w:val="000000"/>
              </w:rPr>
            </w:pPr>
            <w:r>
              <w:rPr>
                <w:color w:val="000000"/>
              </w:rPr>
              <w:t>5,129</w:t>
            </w:r>
          </w:p>
        </w:tc>
        <w:tc>
          <w:tcPr>
            <w:tcW w:w="60" w:type="dxa"/>
            <w:tcBorders/>
            <w:vAlign w:val="bottom"/>
          </w:tcPr>
          <w:p>
            <w:pPr>
              <w:pStyle w:val="TableContents"/>
              <w:bidi w:val="0"/>
              <w:spacing w:before="0" w:after="283"/>
              <w:jc w:val="left"/>
              <w:rPr/>
            </w:pPr>
            <w:r>
              <w:rPr/>
              <w:t> </w:t>
            </w:r>
          </w:p>
        </w:tc>
      </w:tr>
      <w:tr>
        <w:trPr/>
        <w:tc>
          <w:tcPr>
            <w:tcW w:w="3185" w:type="dxa"/>
            <w:tcBorders/>
            <w:shd w:fill="CCEEFF" w:val="clear"/>
            <w:vAlign w:val="bottom"/>
          </w:tcPr>
          <w:p>
            <w:pPr>
              <w:pStyle w:val="TableContents"/>
              <w:bidi w:val="0"/>
              <w:spacing w:before="0" w:after="0"/>
              <w:jc w:val="left"/>
              <w:rPr>
                <w:color w:val="000000"/>
              </w:rPr>
            </w:pPr>
            <w:r>
              <w:rPr>
                <w:color w:val="000000"/>
              </w:rPr>
              <w:t>Finance lease cost:</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283"/>
              <w:jc w:val="right"/>
              <w:rPr/>
            </w:pPr>
            <w:r>
              <w:rPr/>
              <w:t> </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3185" w:type="dxa"/>
            <w:tcBorders/>
            <w:vAlign w:val="bottom"/>
          </w:tcPr>
          <w:p>
            <w:pPr>
              <w:pStyle w:val="TableContents"/>
              <w:bidi w:val="0"/>
              <w:spacing w:before="0" w:after="0"/>
              <w:ind w:left="180" w:right="0" w:hanging="0"/>
              <w:jc w:val="left"/>
              <w:rPr>
                <w:color w:val="000000"/>
              </w:rPr>
            </w:pPr>
            <w:r>
              <w:rPr>
                <w:color w:val="000000"/>
              </w:rPr>
              <w:t>Finance lease amortization</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091" w:type="dxa"/>
            <w:tcBorders/>
            <w:vAlign w:val="bottom"/>
          </w:tcPr>
          <w:p>
            <w:pPr>
              <w:pStyle w:val="TableContents"/>
              <w:bidi w:val="0"/>
              <w:spacing w:before="0" w:after="0"/>
              <w:jc w:val="right"/>
              <w:rPr/>
            </w:pPr>
            <w:r>
              <w:rPr/>
              <w:t>46</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091" w:type="dxa"/>
            <w:tcBorders/>
            <w:vAlign w:val="bottom"/>
          </w:tcPr>
          <w:p>
            <w:pPr>
              <w:pStyle w:val="TableContents"/>
              <w:bidi w:val="0"/>
              <w:spacing w:before="0" w:after="0"/>
              <w:jc w:val="right"/>
              <w:rPr>
                <w:color w:val="000000"/>
              </w:rPr>
            </w:pPr>
            <w:r>
              <w:rPr>
                <w:color w:val="000000"/>
              </w:rPr>
              <w:t>92</w:t>
            </w:r>
          </w:p>
        </w:tc>
        <w:tc>
          <w:tcPr>
            <w:tcW w:w="60" w:type="dxa"/>
            <w:tcBorders/>
            <w:vAlign w:val="bottom"/>
          </w:tcPr>
          <w:p>
            <w:pPr>
              <w:pStyle w:val="TableContents"/>
              <w:bidi w:val="0"/>
              <w:spacing w:before="0" w:after="283"/>
              <w:jc w:val="left"/>
              <w:rPr/>
            </w:pPr>
            <w:r>
              <w:rPr/>
              <w:t> </w:t>
            </w:r>
          </w:p>
        </w:tc>
      </w:tr>
      <w:tr>
        <w:trPr/>
        <w:tc>
          <w:tcPr>
            <w:tcW w:w="3185" w:type="dxa"/>
            <w:tcBorders/>
            <w:shd w:fill="CCEEFF" w:val="clear"/>
            <w:vAlign w:val="bottom"/>
          </w:tcPr>
          <w:p>
            <w:pPr>
              <w:pStyle w:val="TableContents"/>
              <w:bidi w:val="0"/>
              <w:spacing w:before="0" w:after="0"/>
              <w:ind w:left="180" w:right="0" w:hanging="0"/>
              <w:jc w:val="left"/>
              <w:rPr>
                <w:color w:val="000000"/>
              </w:rPr>
            </w:pPr>
            <w:r>
              <w:rPr>
                <w:color w:val="000000"/>
              </w:rPr>
              <w:t>Interest on finance lease liabilities</w:t>
            </w:r>
          </w:p>
        </w:tc>
        <w:tc>
          <w:tcPr>
            <w:tcW w:w="60" w:type="dxa"/>
            <w:tcBorders/>
            <w:shd w:fill="CCEEFF" w:val="clear"/>
            <w:vAlign w:val="bottom"/>
          </w:tcPr>
          <w:p>
            <w:pPr>
              <w:pStyle w:val="TableContents"/>
              <w:bidi w:val="0"/>
              <w:spacing w:before="0" w:after="283"/>
              <w:jc w:val="left"/>
              <w:rPr/>
            </w:pPr>
            <w:r>
              <w:rPr/>
              <w:t> </w:t>
            </w:r>
          </w:p>
        </w:tc>
        <w:tc>
          <w:tcPr>
            <w:tcW w:w="22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9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22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9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w:t>
            </w:r>
          </w:p>
        </w:tc>
        <w:tc>
          <w:tcPr>
            <w:tcW w:w="60" w:type="dxa"/>
            <w:tcBorders/>
            <w:shd w:fill="CCEEFF" w:val="clear"/>
            <w:vAlign w:val="bottom"/>
          </w:tcPr>
          <w:p>
            <w:pPr>
              <w:pStyle w:val="TableContents"/>
              <w:bidi w:val="0"/>
              <w:spacing w:before="0" w:after="283"/>
              <w:jc w:val="left"/>
              <w:rPr/>
            </w:pPr>
            <w:r>
              <w:rPr/>
              <w:t> </w:t>
            </w:r>
          </w:p>
        </w:tc>
      </w:tr>
      <w:tr>
        <w:trPr/>
        <w:tc>
          <w:tcPr>
            <w:tcW w:w="3185" w:type="dxa"/>
            <w:tcBorders/>
            <w:vAlign w:val="bottom"/>
          </w:tcPr>
          <w:p>
            <w:pPr>
              <w:pStyle w:val="TableContents"/>
              <w:bidi w:val="0"/>
              <w:spacing w:before="0" w:after="0"/>
              <w:ind w:left="360" w:right="0" w:hanging="0"/>
              <w:jc w:val="left"/>
              <w:rPr>
                <w:color w:val="000000"/>
              </w:rPr>
            </w:pPr>
            <w:r>
              <w:rPr>
                <w:color w:val="000000"/>
              </w:rPr>
              <w:t>Total lease cost</w:t>
            </w:r>
          </w:p>
        </w:tc>
        <w:tc>
          <w:tcPr>
            <w:tcW w:w="60" w:type="dxa"/>
            <w:tcBorders/>
            <w:vAlign w:val="bottom"/>
          </w:tcPr>
          <w:p>
            <w:pPr>
              <w:pStyle w:val="TableContents"/>
              <w:bidi w:val="0"/>
              <w:spacing w:before="0" w:after="283"/>
              <w:jc w:val="left"/>
              <w:rPr/>
            </w:pPr>
            <w:r>
              <w:rPr/>
              <w:t> </w:t>
            </w:r>
          </w:p>
        </w:tc>
        <w:tc>
          <w:tcPr>
            <w:tcW w:w="224" w:type="dxa"/>
            <w:tcBorders>
              <w:bottom w:val="single" w:sz="12" w:space="0" w:color="000000"/>
            </w:tcBorders>
            <w:tcMar>
              <w:bottom w:w="28" w:type="dxa"/>
            </w:tcMar>
            <w:vAlign w:val="bottom"/>
          </w:tcPr>
          <w:p>
            <w:pPr>
              <w:pStyle w:val="TableContents"/>
              <w:bidi w:val="0"/>
              <w:spacing w:before="0" w:after="0"/>
              <w:jc w:val="left"/>
              <w:rPr/>
            </w:pPr>
            <w:r>
              <w:rPr/>
              <w:t>$</w:t>
            </w:r>
          </w:p>
        </w:tc>
        <w:tc>
          <w:tcPr>
            <w:tcW w:w="1091" w:type="dxa"/>
            <w:tcBorders>
              <w:bottom w:val="single" w:sz="12" w:space="0" w:color="000000"/>
            </w:tcBorders>
            <w:tcMar>
              <w:bottom w:w="28" w:type="dxa"/>
            </w:tcMar>
            <w:vAlign w:val="bottom"/>
          </w:tcPr>
          <w:p>
            <w:pPr>
              <w:pStyle w:val="TableContents"/>
              <w:bidi w:val="0"/>
              <w:spacing w:before="0" w:after="0"/>
              <w:jc w:val="right"/>
              <w:rPr/>
            </w:pPr>
            <w:r>
              <w:rPr/>
              <w:t>17,484</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224" w:type="dxa"/>
            <w:tcBorders>
              <w:bottom w:val="single" w:sz="12" w:space="0" w:color="000000"/>
            </w:tcBorders>
            <w:tcMar>
              <w:bottom w:w="28" w:type="dxa"/>
            </w:tcMar>
            <w:vAlign w:val="bottom"/>
          </w:tcPr>
          <w:p>
            <w:pPr>
              <w:pStyle w:val="TableContents"/>
              <w:bidi w:val="0"/>
              <w:spacing w:before="0" w:after="0"/>
              <w:jc w:val="left"/>
              <w:rPr/>
            </w:pPr>
            <w:r>
              <w:rPr/>
              <w:t>$</w:t>
            </w:r>
          </w:p>
        </w:tc>
        <w:tc>
          <w:tcPr>
            <w:tcW w:w="1091" w:type="dxa"/>
            <w:tcBorders>
              <w:bottom w:val="single" w:sz="12" w:space="0" w:color="000000"/>
            </w:tcBorders>
            <w:tcMar>
              <w:bottom w:w="28" w:type="dxa"/>
            </w:tcMar>
            <w:vAlign w:val="bottom"/>
          </w:tcPr>
          <w:p>
            <w:pPr>
              <w:pStyle w:val="TableContents"/>
              <w:bidi w:val="0"/>
              <w:spacing w:before="0" w:after="0"/>
              <w:jc w:val="right"/>
              <w:rPr/>
            </w:pPr>
            <w:r>
              <w:rPr/>
              <w:t>19,525</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Certain information related to the Company’s leases was as follows (in thousands):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15" w:name="z92655312028540dab54797189ee8894a"/>
      <w:bookmarkStart w:id="116" w:name="z92655312028540dab54797189ee8894a"/>
      <w:bookmarkEnd w:id="116"/>
    </w:p>
    <w:tbl>
      <w:tblPr>
        <w:tblW w:w="9622" w:type="dxa"/>
        <w:jc w:val="left"/>
        <w:tblInd w:w="0" w:type="dxa"/>
        <w:tblLayout w:type="fixed"/>
        <w:tblCellMar>
          <w:top w:w="0" w:type="dxa"/>
          <w:left w:w="0" w:type="dxa"/>
          <w:bottom w:w="0" w:type="dxa"/>
          <w:right w:w="0" w:type="dxa"/>
        </w:tblCellMar>
      </w:tblPr>
      <w:tblGrid>
        <w:gridCol w:w="6665"/>
        <w:gridCol w:w="60"/>
        <w:gridCol w:w="224"/>
        <w:gridCol w:w="1091"/>
        <w:gridCol w:w="96"/>
        <w:gridCol w:w="96"/>
        <w:gridCol w:w="224"/>
        <w:gridCol w:w="1091"/>
        <w:gridCol w:w="75"/>
      </w:tblGrid>
      <w:tr>
        <w:trPr/>
        <w:tc>
          <w:tcPr>
            <w:tcW w:w="66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22" w:type="dxa"/>
            <w:gridSpan w:val="6"/>
            <w:tcBorders>
              <w:bottom w:val="single" w:sz="12" w:space="0" w:color="000000"/>
            </w:tcBorders>
            <w:tcMar>
              <w:bottom w:w="28" w:type="dxa"/>
            </w:tcMar>
            <w:vAlign w:val="bottom"/>
          </w:tcPr>
          <w:p>
            <w:pPr>
              <w:pStyle w:val="TableContents"/>
              <w:bidi w:val="0"/>
              <w:spacing w:before="0" w:after="0"/>
              <w:jc w:val="center"/>
              <w:rPr>
                <w:b/>
              </w:rPr>
            </w:pPr>
            <w:r>
              <w:rPr>
                <w:b/>
              </w:rPr>
              <w:t>Six Months Ended June 30,</w:t>
            </w:r>
          </w:p>
        </w:tc>
        <w:tc>
          <w:tcPr>
            <w:tcW w:w="75" w:type="dxa"/>
            <w:tcBorders/>
            <w:vAlign w:val="bottom"/>
          </w:tcPr>
          <w:p>
            <w:pPr>
              <w:pStyle w:val="TableContents"/>
              <w:bidi w:val="0"/>
              <w:spacing w:before="0" w:after="283"/>
              <w:jc w:val="left"/>
              <w:rPr/>
            </w:pPr>
            <w:r>
              <w:rPr/>
              <w:t> </w:t>
            </w:r>
          </w:p>
        </w:tc>
      </w:tr>
      <w:tr>
        <w:trPr/>
        <w:tc>
          <w:tcPr>
            <w:tcW w:w="66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75" w:type="dxa"/>
            <w:tcBorders/>
            <w:vAlign w:val="bottom"/>
          </w:tcPr>
          <w:p>
            <w:pPr>
              <w:pStyle w:val="TableContents"/>
              <w:bidi w:val="0"/>
              <w:spacing w:before="0" w:after="283"/>
              <w:jc w:val="left"/>
              <w:rPr/>
            </w:pPr>
            <w:r>
              <w:rPr/>
              <w:t> </w:t>
            </w:r>
          </w:p>
        </w:tc>
      </w:tr>
      <w:tr>
        <w:trPr/>
        <w:tc>
          <w:tcPr>
            <w:tcW w:w="6665" w:type="dxa"/>
            <w:tcBorders/>
            <w:vAlign w:val="bottom"/>
          </w:tcPr>
          <w:p>
            <w:pPr>
              <w:pStyle w:val="TableContents"/>
              <w:bidi w:val="0"/>
              <w:spacing w:before="0" w:after="0"/>
              <w:jc w:val="left"/>
              <w:rPr>
                <w:color w:val="000000"/>
              </w:rPr>
            </w:pPr>
            <w:r>
              <w:rPr>
                <w:color w:val="000000"/>
              </w:rPr>
              <w:t>Cash paid for amounts included in the measurement of lease liabilities:</w:t>
            </w:r>
          </w:p>
        </w:tc>
        <w:tc>
          <w:tcPr>
            <w:tcW w:w="60" w:type="dxa"/>
            <w:tcBorders/>
            <w:vAlign w:val="bottom"/>
          </w:tcPr>
          <w:p>
            <w:pPr>
              <w:pStyle w:val="TableContents"/>
              <w:bidi w:val="0"/>
              <w:spacing w:before="0" w:after="283"/>
              <w:jc w:val="left"/>
              <w:rPr/>
            </w:pPr>
            <w:r>
              <w:rPr/>
              <w:t> </w:t>
            </w:r>
          </w:p>
        </w:tc>
        <w:tc>
          <w:tcPr>
            <w:tcW w:w="1315" w:type="dxa"/>
            <w:gridSpan w:val="2"/>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315"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6665" w:type="dxa"/>
            <w:tcBorders/>
            <w:shd w:fill="CCEEFF" w:val="clear"/>
            <w:vAlign w:val="bottom"/>
          </w:tcPr>
          <w:p>
            <w:pPr>
              <w:pStyle w:val="TableContents"/>
              <w:bidi w:val="0"/>
              <w:spacing w:before="0" w:after="0"/>
              <w:ind w:left="180" w:right="0" w:hanging="0"/>
              <w:jc w:val="left"/>
              <w:rPr/>
            </w:pPr>
            <w:r>
              <w:rPr/>
              <w:t>Operating leases</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0"/>
              <w:jc w:val="left"/>
              <w:rPr>
                <w:color w:val="000000"/>
              </w:rPr>
            </w:pPr>
            <w:r>
              <w:rPr>
                <w:color w:val="000000"/>
              </w:rPr>
              <w:t>$</w:t>
            </w:r>
          </w:p>
        </w:tc>
        <w:tc>
          <w:tcPr>
            <w:tcW w:w="1091" w:type="dxa"/>
            <w:tcBorders/>
            <w:shd w:fill="CCEEFF" w:val="clear"/>
            <w:vAlign w:val="bottom"/>
          </w:tcPr>
          <w:p>
            <w:pPr>
              <w:pStyle w:val="TableContents"/>
              <w:bidi w:val="0"/>
              <w:spacing w:before="0" w:after="0"/>
              <w:jc w:val="right"/>
              <w:rPr>
                <w:color w:val="000000"/>
              </w:rPr>
            </w:pPr>
            <w:r>
              <w:rPr>
                <w:color w:val="000000"/>
              </w:rPr>
              <w:t>13,224</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0"/>
              <w:jc w:val="left"/>
              <w:rPr>
                <w:color w:val="000000"/>
              </w:rPr>
            </w:pPr>
            <w:r>
              <w:rPr>
                <w:color w:val="000000"/>
              </w:rPr>
              <w:t>$</w:t>
            </w:r>
          </w:p>
        </w:tc>
        <w:tc>
          <w:tcPr>
            <w:tcW w:w="1091" w:type="dxa"/>
            <w:tcBorders/>
            <w:shd w:fill="CCEEFF" w:val="clear"/>
            <w:vAlign w:val="bottom"/>
          </w:tcPr>
          <w:p>
            <w:pPr>
              <w:pStyle w:val="TableContents"/>
              <w:bidi w:val="0"/>
              <w:spacing w:before="0" w:after="0"/>
              <w:jc w:val="right"/>
              <w:rPr>
                <w:color w:val="000000"/>
              </w:rPr>
            </w:pPr>
            <w:r>
              <w:rPr>
                <w:color w:val="000000"/>
              </w:rPr>
              <w:t>15,368</w:t>
            </w:r>
          </w:p>
        </w:tc>
        <w:tc>
          <w:tcPr>
            <w:tcW w:w="75" w:type="dxa"/>
            <w:tcBorders/>
            <w:shd w:fill="CCEEFF" w:val="clear"/>
            <w:vAlign w:val="bottom"/>
          </w:tcPr>
          <w:p>
            <w:pPr>
              <w:pStyle w:val="TableContents"/>
              <w:bidi w:val="0"/>
              <w:spacing w:before="0" w:after="283"/>
              <w:jc w:val="left"/>
              <w:rPr/>
            </w:pPr>
            <w:r>
              <w:rPr/>
              <w:t> </w:t>
            </w:r>
          </w:p>
        </w:tc>
      </w:tr>
      <w:tr>
        <w:trPr/>
        <w:tc>
          <w:tcPr>
            <w:tcW w:w="6665" w:type="dxa"/>
            <w:tcBorders/>
            <w:vAlign w:val="bottom"/>
          </w:tcPr>
          <w:p>
            <w:pPr>
              <w:pStyle w:val="TableContents"/>
              <w:bidi w:val="0"/>
              <w:spacing w:before="0" w:after="0"/>
              <w:ind w:left="180" w:right="0" w:hanging="0"/>
              <w:jc w:val="left"/>
              <w:rPr>
                <w:color w:val="000000"/>
              </w:rPr>
            </w:pPr>
            <w:r>
              <w:rPr>
                <w:color w:val="000000"/>
              </w:rPr>
              <w:t>Finance leases</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0"/>
              <w:jc w:val="left"/>
              <w:rPr>
                <w:color w:val="000000"/>
              </w:rPr>
            </w:pPr>
            <w:r>
              <w:rPr>
                <w:color w:val="000000"/>
              </w:rPr>
              <w:t>$</w:t>
            </w:r>
          </w:p>
        </w:tc>
        <w:tc>
          <w:tcPr>
            <w:tcW w:w="1091" w:type="dxa"/>
            <w:tcBorders/>
            <w:vAlign w:val="bottom"/>
          </w:tcPr>
          <w:p>
            <w:pPr>
              <w:pStyle w:val="TableContents"/>
              <w:bidi w:val="0"/>
              <w:spacing w:before="0" w:after="0"/>
              <w:jc w:val="right"/>
              <w:rPr>
                <w:color w:val="000000"/>
              </w:rPr>
            </w:pPr>
            <w:r>
              <w:rPr>
                <w:color w:val="000000"/>
              </w:rPr>
              <w:t>—</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0"/>
              <w:jc w:val="left"/>
              <w:rPr>
                <w:color w:val="000000"/>
              </w:rPr>
            </w:pPr>
            <w:r>
              <w:rPr>
                <w:color w:val="000000"/>
              </w:rPr>
              <w:t>$</w:t>
            </w:r>
          </w:p>
        </w:tc>
        <w:tc>
          <w:tcPr>
            <w:tcW w:w="1091" w:type="dxa"/>
            <w:tcBorders/>
            <w:vAlign w:val="bottom"/>
          </w:tcPr>
          <w:p>
            <w:pPr>
              <w:pStyle w:val="TableContents"/>
              <w:bidi w:val="0"/>
              <w:spacing w:before="0" w:after="0"/>
              <w:jc w:val="right"/>
              <w:rPr>
                <w:color w:val="000000"/>
              </w:rPr>
            </w:pPr>
            <w:r>
              <w:rPr>
                <w:color w:val="000000"/>
              </w:rPr>
              <w:t>135</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7" w:name="z10b0ea50c07b4b97a3c1831d742e0496"/>
      <w:bookmarkStart w:id="118" w:name="z10b0ea50c07b4b97a3c1831d742e0496"/>
      <w:bookmarkEnd w:id="118"/>
    </w:p>
    <w:tbl>
      <w:tblPr>
        <w:tblW w:w="8138" w:type="dxa"/>
        <w:jc w:val="left"/>
        <w:tblInd w:w="0" w:type="dxa"/>
        <w:tblLayout w:type="fixed"/>
        <w:tblCellMar>
          <w:top w:w="0" w:type="dxa"/>
          <w:left w:w="0" w:type="dxa"/>
          <w:bottom w:w="0" w:type="dxa"/>
          <w:right w:w="0" w:type="dxa"/>
        </w:tblCellMar>
      </w:tblPr>
      <w:tblGrid>
        <w:gridCol w:w="4760"/>
        <w:gridCol w:w="60"/>
        <w:gridCol w:w="167"/>
        <w:gridCol w:w="1247"/>
        <w:gridCol w:w="215"/>
        <w:gridCol w:w="60"/>
        <w:gridCol w:w="167"/>
        <w:gridCol w:w="1247"/>
        <w:gridCol w:w="215"/>
      </w:tblGrid>
      <w:tr>
        <w:trPr/>
        <w:tc>
          <w:tcPr>
            <w:tcW w:w="47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bottom"/>
          </w:tcPr>
          <w:p>
            <w:pPr>
              <w:pStyle w:val="TableContents"/>
              <w:bidi w:val="0"/>
              <w:spacing w:before="0" w:after="0"/>
              <w:jc w:val="center"/>
              <w:rPr>
                <w:b/>
              </w:rPr>
            </w:pPr>
            <w:r>
              <w:rPr>
                <w:b/>
              </w:rPr>
              <w:t>June 30, 2026</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bottom"/>
          </w:tcPr>
          <w:p>
            <w:pPr>
              <w:pStyle w:val="TableContents"/>
              <w:bidi w:val="0"/>
              <w:spacing w:before="0" w:after="0"/>
              <w:jc w:val="center"/>
              <w:rPr>
                <w:b/>
              </w:rPr>
            </w:pPr>
            <w:r>
              <w:rPr>
                <w:b/>
              </w:rPr>
              <w:t>June 30, 2025</w:t>
            </w:r>
          </w:p>
        </w:tc>
        <w:tc>
          <w:tcPr>
            <w:tcW w:w="215" w:type="dxa"/>
            <w:tcBorders/>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0"/>
              <w:jc w:val="left"/>
              <w:rPr>
                <w:color w:val="000000"/>
              </w:rPr>
            </w:pPr>
            <w:r>
              <w:rPr>
                <w:color w:val="000000"/>
              </w:rPr>
              <w:t>Weighted-average remaining lease term (in years):</w:t>
            </w:r>
          </w:p>
        </w:tc>
        <w:tc>
          <w:tcPr>
            <w:tcW w:w="60" w:type="dxa"/>
            <w:tcBorders/>
            <w:vAlign w:val="bottom"/>
          </w:tcPr>
          <w:p>
            <w:pPr>
              <w:pStyle w:val="TableContents"/>
              <w:bidi w:val="0"/>
              <w:spacing w:before="0" w:after="283"/>
              <w:jc w:val="left"/>
              <w:rPr/>
            </w:pPr>
            <w:r>
              <w:rPr/>
              <w:t> </w:t>
            </w:r>
          </w:p>
        </w:tc>
        <w:tc>
          <w:tcPr>
            <w:tcW w:w="1414"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4"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r>
      <w:tr>
        <w:trPr/>
        <w:tc>
          <w:tcPr>
            <w:tcW w:w="4760" w:type="dxa"/>
            <w:tcBorders/>
            <w:shd w:fill="CCEEFF" w:val="clear"/>
            <w:vAlign w:val="bottom"/>
          </w:tcPr>
          <w:p>
            <w:pPr>
              <w:pStyle w:val="TableContents"/>
              <w:bidi w:val="0"/>
              <w:spacing w:before="0" w:after="0"/>
              <w:ind w:left="180" w:right="0" w:hanging="0"/>
              <w:jc w:val="left"/>
              <w:rPr>
                <w:color w:val="000000"/>
              </w:rPr>
            </w:pPr>
            <w:r>
              <w:rPr>
                <w:color w:val="000000"/>
              </w:rPr>
              <w:t>Operating leases</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0"/>
              <w:jc w:val="right"/>
              <w:rPr>
                <w:color w:val="000000"/>
              </w:rPr>
            </w:pPr>
            <w:r>
              <w:rPr>
                <w:color w:val="000000"/>
              </w:rPr>
              <w:t>8.5</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0"/>
              <w:jc w:val="right"/>
              <w:rPr/>
            </w:pPr>
            <w:r>
              <w:rPr/>
              <w:t>9.4</w:t>
            </w:r>
          </w:p>
        </w:tc>
        <w:tc>
          <w:tcPr>
            <w:tcW w:w="215" w:type="dxa"/>
            <w:tcBorders/>
            <w:shd w:fill="CCEEFF" w:val="clear"/>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0"/>
              <w:ind w:left="180" w:right="0" w:hanging="0"/>
              <w:jc w:val="left"/>
              <w:rPr>
                <w:color w:val="000000"/>
              </w:rPr>
            </w:pPr>
            <w:r>
              <w:rPr>
                <w:color w:val="000000"/>
              </w:rPr>
              <w:t>Finance leases</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0"/>
              <w:jc w:val="right"/>
              <w:rPr/>
            </w:pPr>
            <w:r>
              <w:rPr/>
              <w:t>—</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0"/>
              <w:jc w:val="right"/>
              <w:rPr/>
            </w:pPr>
            <w:r>
              <w:rPr/>
              <w:t>0.1</w:t>
            </w:r>
          </w:p>
        </w:tc>
        <w:tc>
          <w:tcPr>
            <w:tcW w:w="215" w:type="dxa"/>
            <w:tcBorders/>
            <w:vAlign w:val="bottom"/>
          </w:tcPr>
          <w:p>
            <w:pPr>
              <w:pStyle w:val="TableContents"/>
              <w:bidi w:val="0"/>
              <w:spacing w:before="0" w:after="283"/>
              <w:jc w:val="left"/>
              <w:rPr/>
            </w:pPr>
            <w:r>
              <w:rPr/>
              <w:t> </w:t>
            </w:r>
          </w:p>
        </w:tc>
      </w:tr>
      <w:tr>
        <w:trPr/>
        <w:tc>
          <w:tcPr>
            <w:tcW w:w="4760" w:type="dxa"/>
            <w:tcBorders/>
            <w:shd w:fill="CCEEFF" w:val="clear"/>
            <w:vAlign w:val="bottom"/>
          </w:tcPr>
          <w:p>
            <w:pPr>
              <w:pStyle w:val="TableContents"/>
              <w:bidi w:val="0"/>
              <w:spacing w:before="0" w:after="0"/>
              <w:jc w:val="left"/>
              <w:rPr/>
            </w:pPr>
            <w:r>
              <w:rPr/>
              <w:t>Weighted-average discount rate:</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0"/>
              <w:ind w:left="180" w:right="0" w:hanging="0"/>
              <w:jc w:val="left"/>
              <w:rPr>
                <w:color w:val="000000"/>
              </w:rPr>
            </w:pPr>
            <w:r>
              <w:rPr>
                <w:color w:val="000000"/>
              </w:rPr>
              <w:t>Operating leases</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0"/>
              <w:jc w:val="right"/>
              <w:rPr>
                <w:color w:val="000000"/>
              </w:rPr>
            </w:pPr>
            <w:r>
              <w:rPr>
                <w:color w:val="000000"/>
              </w:rPr>
              <w:t>11.3</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0"/>
              <w:jc w:val="right"/>
              <w:rPr>
                <w:color w:val="000000"/>
              </w:rPr>
            </w:pPr>
            <w:r>
              <w:rPr>
                <w:color w:val="000000"/>
              </w:rPr>
              <w:t>11.3</w:t>
            </w:r>
          </w:p>
        </w:tc>
        <w:tc>
          <w:tcPr>
            <w:tcW w:w="215" w:type="dxa"/>
            <w:tcBorders/>
            <w:vAlign w:val="bottom"/>
          </w:tcPr>
          <w:p>
            <w:pPr>
              <w:pStyle w:val="TableContents"/>
              <w:bidi w:val="0"/>
              <w:spacing w:before="0" w:after="0"/>
              <w:jc w:val="left"/>
              <w:rPr>
                <w:color w:val="000000"/>
              </w:rPr>
            </w:pPr>
            <w:r>
              <w:rPr>
                <w:color w:val="000000"/>
              </w:rPr>
              <w:t>%</w:t>
            </w:r>
          </w:p>
        </w:tc>
      </w:tr>
      <w:tr>
        <w:trPr/>
        <w:tc>
          <w:tcPr>
            <w:tcW w:w="4760" w:type="dxa"/>
            <w:tcBorders/>
            <w:shd w:fill="CCEEFF" w:val="clear"/>
            <w:vAlign w:val="bottom"/>
          </w:tcPr>
          <w:p>
            <w:pPr>
              <w:pStyle w:val="TableContents"/>
              <w:bidi w:val="0"/>
              <w:spacing w:before="0" w:after="0"/>
              <w:ind w:left="180" w:right="0" w:hanging="0"/>
              <w:jc w:val="left"/>
              <w:rPr>
                <w:color w:val="000000"/>
              </w:rPr>
            </w:pPr>
            <w:r>
              <w:rPr>
                <w:color w:val="000000"/>
              </w:rPr>
              <w:t>Finance leases</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0"/>
              <w:jc w:val="right"/>
              <w:rPr>
                <w:color w:val="000000"/>
              </w:rPr>
            </w:pPr>
            <w:r>
              <w:rPr>
                <w:color w:val="000000"/>
              </w:rPr>
              <w:t>—</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0"/>
              <w:jc w:val="right"/>
              <w:rPr>
                <w:color w:val="000000"/>
              </w:rPr>
            </w:pPr>
            <w:r>
              <w:rPr>
                <w:color w:val="000000"/>
              </w:rPr>
              <w:t>7.5</w:t>
            </w:r>
          </w:p>
        </w:tc>
        <w:tc>
          <w:tcPr>
            <w:tcW w:w="215"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following table summarizes the Company’s future principal contractual obligations for lease commitments as of June 30, 2026 (in thousands):</w:t>
      </w:r>
    </w:p>
    <w:p>
      <w:pPr>
        <w:pStyle w:val="TextBody"/>
        <w:bidi w:val="0"/>
        <w:spacing w:before="0" w:after="0"/>
        <w:ind w:left="0" w:right="0" w:firstLine="720"/>
        <w:jc w:val="both"/>
        <w:rPr>
          <w:color w:val="000000"/>
        </w:rPr>
      </w:pPr>
      <w:r>
        <w:rPr>
          <w:color w:val="000000"/>
        </w:rPr>
      </w:r>
    </w:p>
    <w:p>
      <w:pPr>
        <w:pStyle w:val="Normal"/>
        <w:bidi w:val="0"/>
        <w:spacing w:before="0" w:after="0"/>
        <w:jc w:val="left"/>
        <w:rPr>
          <w:sz w:val="4"/>
          <w:szCs w:val="4"/>
        </w:rPr>
      </w:pPr>
      <w:r>
        <w:rPr>
          <w:sz w:val="4"/>
          <w:szCs w:val="4"/>
        </w:rPr>
      </w:r>
      <w:bookmarkStart w:id="119" w:name="zed20dc7b383842cdb239689aa33b74bb"/>
      <w:bookmarkStart w:id="120" w:name="zed20dc7b383842cdb239689aa33b74bb"/>
      <w:bookmarkEnd w:id="120"/>
    </w:p>
    <w:tbl>
      <w:tblPr>
        <w:tblW w:w="5675" w:type="dxa"/>
        <w:jc w:val="left"/>
        <w:tblInd w:w="0" w:type="dxa"/>
        <w:tblLayout w:type="fixed"/>
        <w:tblCellMar>
          <w:top w:w="0" w:type="dxa"/>
          <w:left w:w="0" w:type="dxa"/>
          <w:bottom w:w="0" w:type="dxa"/>
          <w:right w:w="0" w:type="dxa"/>
        </w:tblCellMar>
      </w:tblPr>
      <w:tblGrid>
        <w:gridCol w:w="3710"/>
        <w:gridCol w:w="60"/>
        <w:gridCol w:w="249"/>
        <w:gridCol w:w="1561"/>
        <w:gridCol w:w="95"/>
      </w:tblGrid>
      <w:tr>
        <w:trPr/>
        <w:tc>
          <w:tcPr>
            <w:tcW w:w="3710" w:type="dxa"/>
            <w:tcBorders/>
            <w:vAlign w:val="bottom"/>
          </w:tcPr>
          <w:p>
            <w:pPr>
              <w:pStyle w:val="TableContents"/>
              <w:bidi w:val="0"/>
              <w:spacing w:before="0" w:after="0"/>
              <w:jc w:val="left"/>
              <w:rPr>
                <w:b/>
                <w:color w:val="000000"/>
              </w:rPr>
            </w:pPr>
            <w:r>
              <w:rPr>
                <w:b/>
                <w:color w:val="000000"/>
              </w:rPr>
              <w:t>Year Ending December 31,</w:t>
            </w:r>
          </w:p>
        </w:tc>
        <w:tc>
          <w:tcPr>
            <w:tcW w:w="60" w:type="dxa"/>
            <w:tcBorders/>
            <w:vAlign w:val="bottom"/>
          </w:tcPr>
          <w:p>
            <w:pPr>
              <w:pStyle w:val="TableContents"/>
              <w:bidi w:val="0"/>
              <w:spacing w:before="0" w:after="283"/>
              <w:jc w:val="left"/>
              <w:rPr/>
            </w:pPr>
            <w:r>
              <w:rPr/>
              <w:t> </w:t>
            </w:r>
          </w:p>
        </w:tc>
        <w:tc>
          <w:tcPr>
            <w:tcW w:w="1810" w:type="dxa"/>
            <w:gridSpan w:val="2"/>
            <w:tcBorders/>
            <w:vAlign w:val="bottom"/>
          </w:tcPr>
          <w:p>
            <w:pPr>
              <w:pStyle w:val="TableContents"/>
              <w:bidi w:val="0"/>
              <w:spacing w:before="0" w:after="0"/>
              <w:ind w:left="0" w:right="0" w:firstLine="20"/>
              <w:jc w:val="right"/>
              <w:rPr>
                <w:b/>
                <w:color w:val="000000"/>
              </w:rPr>
            </w:pPr>
            <w:r>
              <w:rPr>
                <w:b/>
                <w:color w:val="000000"/>
              </w:rPr>
              <w:t>Operating Leases</w:t>
            </w:r>
          </w:p>
        </w:tc>
        <w:tc>
          <w:tcPr>
            <w:tcW w:w="95" w:type="dxa"/>
            <w:tcBorders/>
            <w:vAlign w:val="bottom"/>
          </w:tcPr>
          <w:p>
            <w:pPr>
              <w:pStyle w:val="TableContents"/>
              <w:bidi w:val="0"/>
              <w:spacing w:before="0" w:after="283"/>
              <w:jc w:val="left"/>
              <w:rPr/>
            </w:pPr>
            <w:r>
              <w:rPr/>
              <w:t> </w:t>
            </w:r>
          </w:p>
        </w:tc>
      </w:tr>
      <w:tr>
        <w:trPr/>
        <w:tc>
          <w:tcPr>
            <w:tcW w:w="3710" w:type="dxa"/>
            <w:tcBorders/>
            <w:shd w:fill="CCEEFF" w:val="clear"/>
            <w:vAlign w:val="bottom"/>
          </w:tcPr>
          <w:p>
            <w:pPr>
              <w:pStyle w:val="TableContents"/>
              <w:bidi w:val="0"/>
              <w:spacing w:before="0" w:after="0"/>
              <w:jc w:val="left"/>
              <w:rPr>
                <w:color w:val="000000"/>
              </w:rPr>
            </w:pPr>
            <w:r>
              <w:rPr>
                <w:color w:val="000000"/>
              </w:rPr>
              <w:t>2026 (remainder of year)</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0"/>
              <w:jc w:val="left"/>
              <w:rPr>
                <w:color w:val="000000"/>
              </w:rPr>
            </w:pPr>
            <w:r>
              <w:rPr>
                <w:color w:val="000000"/>
              </w:rPr>
              <w:t>$</w:t>
            </w:r>
          </w:p>
        </w:tc>
        <w:tc>
          <w:tcPr>
            <w:tcW w:w="1561" w:type="dxa"/>
            <w:tcBorders/>
            <w:shd w:fill="CCEEFF" w:val="clear"/>
            <w:vAlign w:val="bottom"/>
          </w:tcPr>
          <w:p>
            <w:pPr>
              <w:pStyle w:val="TableContents"/>
              <w:bidi w:val="0"/>
              <w:spacing w:before="0" w:after="0"/>
              <w:jc w:val="right"/>
              <w:rPr>
                <w:color w:val="000000"/>
              </w:rPr>
            </w:pPr>
            <w:r>
              <w:rPr>
                <w:color w:val="000000"/>
              </w:rPr>
              <w:t>16,030</w:t>
            </w:r>
          </w:p>
        </w:tc>
        <w:tc>
          <w:tcPr>
            <w:tcW w:w="95" w:type="dxa"/>
            <w:tcBorders/>
            <w:shd w:fill="CCEEFF" w:val="clear"/>
            <w:vAlign w:val="bottom"/>
          </w:tcPr>
          <w:p>
            <w:pPr>
              <w:pStyle w:val="TableContents"/>
              <w:bidi w:val="0"/>
              <w:spacing w:before="0" w:after="283"/>
              <w:jc w:val="left"/>
              <w:rPr/>
            </w:pPr>
            <w:r>
              <w:rPr/>
              <w:t> </w:t>
            </w:r>
          </w:p>
        </w:tc>
      </w:tr>
      <w:tr>
        <w:trPr/>
        <w:tc>
          <w:tcPr>
            <w:tcW w:w="3710" w:type="dxa"/>
            <w:tcBorders/>
            <w:vAlign w:val="bottom"/>
          </w:tcPr>
          <w:p>
            <w:pPr>
              <w:pStyle w:val="TableContents"/>
              <w:bidi w:val="0"/>
              <w:spacing w:before="0" w:after="0"/>
              <w:jc w:val="left"/>
              <w:rPr>
                <w:color w:val="000000"/>
              </w:rPr>
            </w:pPr>
            <w:r>
              <w:rPr>
                <w:color w:val="000000"/>
              </w:rPr>
              <w:t>2027</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561" w:type="dxa"/>
            <w:tcBorders/>
            <w:vAlign w:val="bottom"/>
          </w:tcPr>
          <w:p>
            <w:pPr>
              <w:pStyle w:val="TableContents"/>
              <w:bidi w:val="0"/>
              <w:spacing w:before="0" w:after="0"/>
              <w:jc w:val="right"/>
              <w:rPr/>
            </w:pPr>
            <w:r>
              <w:rPr/>
              <w:t>32,872</w:t>
            </w:r>
          </w:p>
        </w:tc>
        <w:tc>
          <w:tcPr>
            <w:tcW w:w="95" w:type="dxa"/>
            <w:tcBorders/>
            <w:vAlign w:val="bottom"/>
          </w:tcPr>
          <w:p>
            <w:pPr>
              <w:pStyle w:val="TableContents"/>
              <w:bidi w:val="0"/>
              <w:spacing w:before="0" w:after="283"/>
              <w:jc w:val="left"/>
              <w:rPr/>
            </w:pPr>
            <w:r>
              <w:rPr/>
              <w:t> </w:t>
            </w:r>
          </w:p>
        </w:tc>
      </w:tr>
      <w:tr>
        <w:trPr/>
        <w:tc>
          <w:tcPr>
            <w:tcW w:w="3710" w:type="dxa"/>
            <w:tcBorders/>
            <w:shd w:fill="CCEEFF" w:val="clear"/>
            <w:vAlign w:val="bottom"/>
          </w:tcPr>
          <w:p>
            <w:pPr>
              <w:pStyle w:val="TableContents"/>
              <w:bidi w:val="0"/>
              <w:spacing w:before="0" w:after="0"/>
              <w:jc w:val="left"/>
              <w:rPr/>
            </w:pPr>
            <w:r>
              <w:rPr/>
              <w:t>2028</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561" w:type="dxa"/>
            <w:tcBorders/>
            <w:shd w:fill="CCEEFF" w:val="clear"/>
            <w:vAlign w:val="bottom"/>
          </w:tcPr>
          <w:p>
            <w:pPr>
              <w:pStyle w:val="TableContents"/>
              <w:bidi w:val="0"/>
              <w:spacing w:before="0" w:after="0"/>
              <w:jc w:val="right"/>
              <w:rPr/>
            </w:pPr>
            <w:r>
              <w:rPr/>
              <w:t>33,944</w:t>
            </w:r>
          </w:p>
        </w:tc>
        <w:tc>
          <w:tcPr>
            <w:tcW w:w="95" w:type="dxa"/>
            <w:tcBorders/>
            <w:shd w:fill="CCEEFF" w:val="clear"/>
            <w:vAlign w:val="bottom"/>
          </w:tcPr>
          <w:p>
            <w:pPr>
              <w:pStyle w:val="TableContents"/>
              <w:bidi w:val="0"/>
              <w:spacing w:before="0" w:after="283"/>
              <w:jc w:val="left"/>
              <w:rPr/>
            </w:pPr>
            <w:r>
              <w:rPr/>
              <w:t> </w:t>
            </w:r>
          </w:p>
        </w:tc>
      </w:tr>
      <w:tr>
        <w:trPr/>
        <w:tc>
          <w:tcPr>
            <w:tcW w:w="3710" w:type="dxa"/>
            <w:tcBorders/>
            <w:vAlign w:val="bottom"/>
          </w:tcPr>
          <w:p>
            <w:pPr>
              <w:pStyle w:val="TableContents"/>
              <w:bidi w:val="0"/>
              <w:spacing w:before="0" w:after="0"/>
              <w:jc w:val="left"/>
              <w:rPr/>
            </w:pPr>
            <w:r>
              <w:rPr/>
              <w:t>2029</w:t>
            </w:r>
          </w:p>
        </w:tc>
        <w:tc>
          <w:tcPr>
            <w:tcW w:w="60"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561" w:type="dxa"/>
            <w:tcBorders/>
            <w:vAlign w:val="bottom"/>
          </w:tcPr>
          <w:p>
            <w:pPr>
              <w:pStyle w:val="TableContents"/>
              <w:bidi w:val="0"/>
              <w:spacing w:before="0" w:after="0"/>
              <w:jc w:val="right"/>
              <w:rPr/>
            </w:pPr>
            <w:r>
              <w:rPr/>
              <w:t>35,053</w:t>
            </w:r>
          </w:p>
        </w:tc>
        <w:tc>
          <w:tcPr>
            <w:tcW w:w="95" w:type="dxa"/>
            <w:tcBorders/>
            <w:vAlign w:val="bottom"/>
          </w:tcPr>
          <w:p>
            <w:pPr>
              <w:pStyle w:val="TableContents"/>
              <w:bidi w:val="0"/>
              <w:spacing w:before="0" w:after="283"/>
              <w:jc w:val="left"/>
              <w:rPr/>
            </w:pPr>
            <w:r>
              <w:rPr/>
              <w:t> </w:t>
            </w:r>
          </w:p>
        </w:tc>
      </w:tr>
      <w:tr>
        <w:trPr/>
        <w:tc>
          <w:tcPr>
            <w:tcW w:w="3710" w:type="dxa"/>
            <w:tcBorders/>
            <w:shd w:fill="CCEEFF" w:val="clear"/>
            <w:vAlign w:val="bottom"/>
          </w:tcPr>
          <w:p>
            <w:pPr>
              <w:pStyle w:val="TableContents"/>
              <w:bidi w:val="0"/>
              <w:spacing w:before="0" w:after="0"/>
              <w:jc w:val="left"/>
              <w:rPr>
                <w:color w:val="000000"/>
              </w:rPr>
            </w:pPr>
            <w:r>
              <w:rPr>
                <w:color w:val="000000"/>
              </w:rPr>
              <w:t>2030</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561" w:type="dxa"/>
            <w:tcBorders/>
            <w:shd w:fill="CCEEFF" w:val="clear"/>
            <w:vAlign w:val="bottom"/>
          </w:tcPr>
          <w:p>
            <w:pPr>
              <w:pStyle w:val="TableContents"/>
              <w:bidi w:val="0"/>
              <w:spacing w:before="0" w:after="0"/>
              <w:jc w:val="right"/>
              <w:rPr>
                <w:color w:val="000000"/>
              </w:rPr>
            </w:pPr>
            <w:r>
              <w:rPr>
                <w:color w:val="000000"/>
              </w:rPr>
              <w:t>36,201</w:t>
            </w:r>
          </w:p>
        </w:tc>
        <w:tc>
          <w:tcPr>
            <w:tcW w:w="95" w:type="dxa"/>
            <w:tcBorders/>
            <w:shd w:fill="CCEEFF" w:val="clear"/>
            <w:vAlign w:val="bottom"/>
          </w:tcPr>
          <w:p>
            <w:pPr>
              <w:pStyle w:val="TableContents"/>
              <w:bidi w:val="0"/>
              <w:spacing w:before="0" w:after="283"/>
              <w:jc w:val="left"/>
              <w:rPr/>
            </w:pPr>
            <w:r>
              <w:rPr/>
              <w:t> </w:t>
            </w:r>
          </w:p>
        </w:tc>
      </w:tr>
      <w:tr>
        <w:trPr/>
        <w:tc>
          <w:tcPr>
            <w:tcW w:w="3710" w:type="dxa"/>
            <w:tcBorders/>
            <w:vAlign w:val="bottom"/>
          </w:tcPr>
          <w:p>
            <w:pPr>
              <w:pStyle w:val="TableContents"/>
              <w:bidi w:val="0"/>
              <w:spacing w:before="0" w:after="0"/>
              <w:jc w:val="left"/>
              <w:rPr>
                <w:color w:val="000000"/>
              </w:rPr>
            </w:pPr>
            <w:r>
              <w:rPr>
                <w:color w:val="000000"/>
              </w:rPr>
              <w:t>Thereafter</w:t>
            </w:r>
          </w:p>
        </w:tc>
        <w:tc>
          <w:tcPr>
            <w:tcW w:w="60" w:type="dxa"/>
            <w:tcBorders/>
            <w:vAlign w:val="bottom"/>
          </w:tcPr>
          <w:p>
            <w:pPr>
              <w:pStyle w:val="TableContents"/>
              <w:bidi w:val="0"/>
              <w:spacing w:before="0" w:after="283"/>
              <w:jc w:val="left"/>
              <w:rPr/>
            </w:pPr>
            <w:r>
              <w:rPr/>
              <w:t> </w:t>
            </w:r>
          </w:p>
        </w:tc>
        <w:tc>
          <w:tcPr>
            <w:tcW w:w="249" w:type="dxa"/>
            <w:tcBorders>
              <w:bottom w:val="single" w:sz="12" w:space="0" w:color="000000"/>
            </w:tcBorders>
            <w:tcMar>
              <w:bottom w:w="28" w:type="dxa"/>
            </w:tcMar>
            <w:vAlign w:val="bottom"/>
          </w:tcPr>
          <w:p>
            <w:pPr>
              <w:pStyle w:val="TableContents"/>
              <w:bidi w:val="0"/>
              <w:spacing w:before="0" w:after="283"/>
              <w:jc w:val="left"/>
              <w:rPr/>
            </w:pPr>
            <w:r>
              <w:rPr/>
              <w:t> </w:t>
            </w:r>
          </w:p>
        </w:tc>
        <w:tc>
          <w:tcPr>
            <w:tcW w:w="156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165,841</w:t>
            </w:r>
          </w:p>
        </w:tc>
        <w:tc>
          <w:tcPr>
            <w:tcW w:w="95" w:type="dxa"/>
            <w:tcBorders/>
            <w:vAlign w:val="bottom"/>
          </w:tcPr>
          <w:p>
            <w:pPr>
              <w:pStyle w:val="TableContents"/>
              <w:bidi w:val="0"/>
              <w:spacing w:before="0" w:after="283"/>
              <w:jc w:val="left"/>
              <w:rPr/>
            </w:pPr>
            <w:r>
              <w:rPr/>
              <w:t> </w:t>
            </w:r>
          </w:p>
        </w:tc>
      </w:tr>
      <w:tr>
        <w:trPr/>
        <w:tc>
          <w:tcPr>
            <w:tcW w:w="3710" w:type="dxa"/>
            <w:tcBorders/>
            <w:shd w:fill="CCEEFF" w:val="clear"/>
            <w:vAlign w:val="bottom"/>
          </w:tcPr>
          <w:p>
            <w:pPr>
              <w:pStyle w:val="TableContents"/>
              <w:bidi w:val="0"/>
              <w:spacing w:before="0" w:after="0"/>
              <w:ind w:left="180" w:right="0" w:hanging="0"/>
              <w:jc w:val="left"/>
              <w:rPr>
                <w:color w:val="000000"/>
              </w:rPr>
            </w:pPr>
            <w:r>
              <w:rPr>
                <w:color w:val="000000"/>
              </w:rPr>
              <w:t>Total undiscounted lease payments</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561" w:type="dxa"/>
            <w:tcBorders/>
            <w:shd w:fill="CCEEFF" w:val="clear"/>
            <w:vAlign w:val="bottom"/>
          </w:tcPr>
          <w:p>
            <w:pPr>
              <w:pStyle w:val="TableContents"/>
              <w:bidi w:val="0"/>
              <w:spacing w:before="0" w:after="0"/>
              <w:jc w:val="right"/>
              <w:rPr/>
            </w:pPr>
            <w:r>
              <w:rPr/>
              <w:t>319,941</w:t>
            </w:r>
          </w:p>
        </w:tc>
        <w:tc>
          <w:tcPr>
            <w:tcW w:w="95" w:type="dxa"/>
            <w:tcBorders/>
            <w:shd w:fill="CCEEFF" w:val="clear"/>
            <w:vAlign w:val="bottom"/>
          </w:tcPr>
          <w:p>
            <w:pPr>
              <w:pStyle w:val="TableContents"/>
              <w:bidi w:val="0"/>
              <w:spacing w:before="0" w:after="283"/>
              <w:jc w:val="left"/>
              <w:rPr/>
            </w:pPr>
            <w:r>
              <w:rPr/>
              <w:t> </w:t>
            </w:r>
          </w:p>
        </w:tc>
      </w:tr>
      <w:tr>
        <w:trPr/>
        <w:tc>
          <w:tcPr>
            <w:tcW w:w="3710" w:type="dxa"/>
            <w:tcBorders/>
            <w:vAlign w:val="bottom"/>
          </w:tcPr>
          <w:p>
            <w:pPr>
              <w:pStyle w:val="TableContents"/>
              <w:bidi w:val="0"/>
              <w:spacing w:before="0" w:after="0"/>
              <w:ind w:left="360" w:right="0" w:hanging="0"/>
              <w:jc w:val="left"/>
              <w:rPr/>
            </w:pPr>
            <w:r>
              <w:rPr/>
              <w:t>Less: Imputed interest</w:t>
            </w:r>
          </w:p>
        </w:tc>
        <w:tc>
          <w:tcPr>
            <w:tcW w:w="60" w:type="dxa"/>
            <w:tcBorders/>
            <w:vAlign w:val="bottom"/>
          </w:tcPr>
          <w:p>
            <w:pPr>
              <w:pStyle w:val="TableContents"/>
              <w:bidi w:val="0"/>
              <w:spacing w:before="0" w:after="283"/>
              <w:jc w:val="left"/>
              <w:rPr/>
            </w:pPr>
            <w:r>
              <w:rPr/>
              <w:t> </w:t>
            </w:r>
          </w:p>
        </w:tc>
        <w:tc>
          <w:tcPr>
            <w:tcW w:w="249" w:type="dxa"/>
            <w:tcBorders>
              <w:bottom w:val="single" w:sz="12" w:space="0" w:color="000000"/>
            </w:tcBorders>
            <w:tcMar>
              <w:bottom w:w="28" w:type="dxa"/>
            </w:tcMar>
            <w:vAlign w:val="bottom"/>
          </w:tcPr>
          <w:p>
            <w:pPr>
              <w:pStyle w:val="TableContents"/>
              <w:bidi w:val="0"/>
              <w:spacing w:before="0" w:after="283"/>
              <w:jc w:val="left"/>
              <w:rPr/>
            </w:pPr>
            <w:r>
              <w:rPr/>
              <w:t> </w:t>
            </w:r>
          </w:p>
        </w:tc>
        <w:tc>
          <w:tcPr>
            <w:tcW w:w="1561" w:type="dxa"/>
            <w:tcBorders>
              <w:bottom w:val="single" w:sz="12" w:space="0" w:color="000000"/>
            </w:tcBorders>
            <w:tcMar>
              <w:bottom w:w="28" w:type="dxa"/>
            </w:tcMar>
            <w:vAlign w:val="bottom"/>
          </w:tcPr>
          <w:p>
            <w:pPr>
              <w:pStyle w:val="TableContents"/>
              <w:bidi w:val="0"/>
              <w:spacing w:before="0" w:after="0"/>
              <w:jc w:val="right"/>
              <w:rPr/>
            </w:pPr>
            <w:r>
              <w:rPr/>
              <w:t>(115,711</w:t>
            </w:r>
          </w:p>
        </w:tc>
        <w:tc>
          <w:tcPr>
            <w:tcW w:w="95" w:type="dxa"/>
            <w:tcBorders/>
            <w:vAlign w:val="bottom"/>
          </w:tcPr>
          <w:p>
            <w:pPr>
              <w:pStyle w:val="TableContents"/>
              <w:bidi w:val="0"/>
              <w:spacing w:before="0" w:after="0"/>
              <w:jc w:val="left"/>
              <w:rPr/>
            </w:pPr>
            <w:r>
              <w:rPr/>
              <w:t>)</w:t>
            </w:r>
          </w:p>
        </w:tc>
      </w:tr>
      <w:tr>
        <w:trPr/>
        <w:tc>
          <w:tcPr>
            <w:tcW w:w="3710" w:type="dxa"/>
            <w:tcBorders/>
            <w:shd w:fill="CCEEFF" w:val="clear"/>
            <w:vAlign w:val="bottom"/>
          </w:tcPr>
          <w:p>
            <w:pPr>
              <w:pStyle w:val="TableContents"/>
              <w:bidi w:val="0"/>
              <w:spacing w:before="0" w:after="0"/>
              <w:ind w:left="180" w:right="0" w:hanging="0"/>
              <w:jc w:val="left"/>
              <w:rPr>
                <w:color w:val="000000"/>
              </w:rPr>
            </w:pPr>
            <w:r>
              <w:rPr>
                <w:color w:val="000000"/>
              </w:rPr>
              <w:t>Total lease liabilities</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561" w:type="dxa"/>
            <w:tcBorders/>
            <w:shd w:fill="CCEEFF" w:val="clear"/>
            <w:vAlign w:val="bottom"/>
          </w:tcPr>
          <w:p>
            <w:pPr>
              <w:pStyle w:val="TableContents"/>
              <w:bidi w:val="0"/>
              <w:spacing w:before="0" w:after="0"/>
              <w:jc w:val="right"/>
              <w:rPr/>
            </w:pPr>
            <w:r>
              <w:rPr/>
              <w:t>204,230</w:t>
            </w:r>
          </w:p>
        </w:tc>
        <w:tc>
          <w:tcPr>
            <w:tcW w:w="95" w:type="dxa"/>
            <w:tcBorders/>
            <w:shd w:fill="CCEEFF" w:val="clear"/>
            <w:vAlign w:val="bottom"/>
          </w:tcPr>
          <w:p>
            <w:pPr>
              <w:pStyle w:val="TableContents"/>
              <w:bidi w:val="0"/>
              <w:spacing w:before="0" w:after="283"/>
              <w:jc w:val="left"/>
              <w:rPr/>
            </w:pPr>
            <w:r>
              <w:rPr/>
              <w:t> </w:t>
            </w:r>
          </w:p>
        </w:tc>
      </w:tr>
      <w:tr>
        <w:trPr/>
        <w:tc>
          <w:tcPr>
            <w:tcW w:w="3710" w:type="dxa"/>
            <w:tcBorders/>
            <w:vAlign w:val="bottom"/>
          </w:tcPr>
          <w:p>
            <w:pPr>
              <w:pStyle w:val="TableContents"/>
              <w:bidi w:val="0"/>
              <w:spacing w:before="0" w:after="0"/>
              <w:ind w:left="360" w:right="0" w:hanging="0"/>
              <w:jc w:val="left"/>
              <w:rPr/>
            </w:pPr>
            <w:r>
              <w:rPr/>
              <w:t>Less: Current portion of lease liabilities</w:t>
            </w:r>
          </w:p>
        </w:tc>
        <w:tc>
          <w:tcPr>
            <w:tcW w:w="60" w:type="dxa"/>
            <w:tcBorders/>
            <w:vAlign w:val="bottom"/>
          </w:tcPr>
          <w:p>
            <w:pPr>
              <w:pStyle w:val="TableContents"/>
              <w:bidi w:val="0"/>
              <w:spacing w:before="0" w:after="283"/>
              <w:jc w:val="left"/>
              <w:rPr/>
            </w:pPr>
            <w:r>
              <w:rPr/>
              <w:t> </w:t>
            </w:r>
          </w:p>
        </w:tc>
        <w:tc>
          <w:tcPr>
            <w:tcW w:w="249" w:type="dxa"/>
            <w:tcBorders>
              <w:bottom w:val="single" w:sz="12" w:space="0" w:color="000000"/>
            </w:tcBorders>
            <w:tcMar>
              <w:bottom w:w="28" w:type="dxa"/>
            </w:tcMar>
            <w:vAlign w:val="bottom"/>
          </w:tcPr>
          <w:p>
            <w:pPr>
              <w:pStyle w:val="TableContents"/>
              <w:bidi w:val="0"/>
              <w:spacing w:before="0" w:after="283"/>
              <w:jc w:val="left"/>
              <w:rPr/>
            </w:pPr>
            <w:r>
              <w:rPr/>
              <w:t> </w:t>
            </w:r>
          </w:p>
        </w:tc>
        <w:tc>
          <w:tcPr>
            <w:tcW w:w="1561" w:type="dxa"/>
            <w:tcBorders>
              <w:bottom w:val="single" w:sz="12" w:space="0" w:color="000000"/>
            </w:tcBorders>
            <w:tcMar>
              <w:bottom w:w="28" w:type="dxa"/>
            </w:tcMar>
            <w:vAlign w:val="bottom"/>
          </w:tcPr>
          <w:p>
            <w:pPr>
              <w:pStyle w:val="TableContents"/>
              <w:bidi w:val="0"/>
              <w:spacing w:before="0" w:after="0"/>
              <w:jc w:val="right"/>
              <w:rPr/>
            </w:pPr>
            <w:r>
              <w:rPr/>
              <w:t>11,194</w:t>
            </w:r>
          </w:p>
        </w:tc>
        <w:tc>
          <w:tcPr>
            <w:tcW w:w="95" w:type="dxa"/>
            <w:tcBorders/>
            <w:vAlign w:val="bottom"/>
          </w:tcPr>
          <w:p>
            <w:pPr>
              <w:pStyle w:val="TableContents"/>
              <w:bidi w:val="0"/>
              <w:spacing w:before="0" w:after="283"/>
              <w:jc w:val="left"/>
              <w:rPr/>
            </w:pPr>
            <w:r>
              <w:rPr/>
              <w:t> </w:t>
            </w:r>
          </w:p>
        </w:tc>
      </w:tr>
      <w:tr>
        <w:trPr/>
        <w:tc>
          <w:tcPr>
            <w:tcW w:w="3710" w:type="dxa"/>
            <w:tcBorders/>
            <w:shd w:fill="CCEEFF" w:val="clear"/>
            <w:vAlign w:val="bottom"/>
          </w:tcPr>
          <w:p>
            <w:pPr>
              <w:pStyle w:val="TableContents"/>
              <w:bidi w:val="0"/>
              <w:spacing w:before="0" w:after="0"/>
              <w:jc w:val="left"/>
              <w:rPr>
                <w:color w:val="000000"/>
              </w:rPr>
            </w:pPr>
            <w:r>
              <w:rPr>
                <w:color w:val="000000"/>
              </w:rPr>
              <w:t>Non- current lease liabilities</w:t>
            </w:r>
          </w:p>
        </w:tc>
        <w:tc>
          <w:tcPr>
            <w:tcW w:w="60" w:type="dxa"/>
            <w:tcBorders/>
            <w:shd w:fill="CCEEFF" w:val="clear"/>
            <w:vAlign w:val="bottom"/>
          </w:tcPr>
          <w:p>
            <w:pPr>
              <w:pStyle w:val="TableContents"/>
              <w:bidi w:val="0"/>
              <w:spacing w:before="0" w:after="283"/>
              <w:jc w:val="left"/>
              <w:rPr/>
            </w:pPr>
            <w:r>
              <w:rPr/>
              <w:t> </w:t>
            </w:r>
          </w:p>
        </w:tc>
        <w:tc>
          <w:tcPr>
            <w:tcW w:w="249"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561"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193,036</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bookmarkStart w:id="121" w:name="Section23"/>
      <w:bookmarkEnd w:id="121"/>
      <w:r>
        <w:rPr>
          <w:rFonts w:ascii="Times New Roman" w:hAnsi="Times New Roman"/>
          <w:color w:val="000000"/>
          <w:sz w:val="20"/>
        </w:rPr>
        <w:t>There is no remaining finance lease obligation as of June 30, 2026.</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Note 15—Related Party Transactions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Transactions with Affiliates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Company considers Roche Holdings, Inc. and its affiliates (the ‘‘Roche Group’’) to be related parties due to the Roche Group’s beneficial ownership in the Company, which exceeded 10% of the voting interests in the Company as of June 30, 2026, and December 31, 2025. The Company has entered into certain agreements with the Roche Group for the purchase or use of equipment, consumable products such as reagents and supplies, and services. In addition, the Company has entered into certain material transfer agreements in which the Company transfers certain samples to the Roche Group for research, testing and evaluation. The Company incurred approximately $0.4 million during the three months ended June 30, 2026 and 2025, respectively, and $1.8 million and $0.7 million during the six months ended June 30, 2026 and 2025, respectively under these agreements, which are recognized as R&amp;D expenses in the consolidated statements of operations. The Company has entered into a Research Service Agreement with a member of the Roche Group, pursuant to which the Company uses its multiomics platform to perform tests and data analysis on samples provided by the Roche Group. The Company did not recognize any service revenue under this agreement for the six months ended June 30, 2026 and 2025, respectively.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November 2025, the Company entered into the Roche License and Option Agreement with Roche Sequencing and the Roche Promissory Note Agreement with Roche Holdings for which the Company received total proceeds of $75.0 million. As of June 30, 2026, the carrying value of the Roche Convertible Note of $65.5 million was recorded as Convertible Note, related party and the $15.0 million allocated to the Roche License and Option Agreement was recorded as other long-term liabilities on the Company’s condensed consolidated balance sheet. The Company recorded interest expense related to the Roche Convertible Note of $0.9 million and $1.9 million during the three and six months ended June 30, 2026. See Note 7 for further description of the Roche License and Option Agreement with Roche Sequencing and Note 8 for further description of the Roche Convertible Note.</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bookmarkStart w:id="122" w:name="Section24"/>
      <w:bookmarkEnd w:id="122"/>
      <w:r>
        <w:rPr>
          <w:rFonts w:ascii="Times New Roman" w:hAnsi="Times New Roman"/>
          <w:b/>
          <w:color w:val="000000"/>
          <w:sz w:val="20"/>
        </w:rPr>
        <w:t>Note 16— Segment and Geographic Information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Company operates as one operating and reportable segment focused on the development of an early cancer detection platform. The Company’s chief operating decision maker (the ‘‘CODM’’) is its Chief Executive Officer, who uses consolidated net loss (that is also reported on the condensed consolidated statements of operations) as the key measure of segment profit and loss that the CODM uses to allocate resources and assess performance. The CODM does not evaluate operating segment performance using asset information.</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CODM uses consolidated net loss to evaluate the Company’s expenditures from the segment and monitor budget-to-actual results. The CODM also considers budget-to-actual variances and available cash when making decisions about the allocation of resources across the organization. Significant segment expenses within consolidated net loss are cost of services, research and development, general and administrative, and other segment items are interest and investment income, net, interest expense and other income (expense), net, which are separately presented on the Company’s condensed consolidated statements of operations.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following table presents information about reported segment revenue by geographic location (in thousands):</w:t>
      </w:r>
    </w:p>
    <w:p>
      <w:pPr>
        <w:pStyle w:val="TextBody"/>
        <w:bidi w:val="0"/>
        <w:spacing w:before="0" w:after="0"/>
        <w:ind w:left="0" w:right="0" w:firstLine="720"/>
        <w:jc w:val="both"/>
        <w:rPr>
          <w:color w:val="000000"/>
        </w:rPr>
      </w:pPr>
      <w:r>
        <w:rPr>
          <w:color w:val="000000"/>
        </w:rPr>
      </w:r>
    </w:p>
    <w:p>
      <w:pPr>
        <w:pStyle w:val="Normal"/>
        <w:bidi w:val="0"/>
        <w:spacing w:before="0" w:after="0"/>
        <w:jc w:val="left"/>
        <w:rPr>
          <w:sz w:val="4"/>
          <w:szCs w:val="4"/>
        </w:rPr>
      </w:pPr>
      <w:r>
        <w:rPr>
          <w:sz w:val="4"/>
          <w:szCs w:val="4"/>
        </w:rPr>
      </w:r>
      <w:bookmarkStart w:id="123" w:name="z790e841a5f2e49a0af2960348b82511c"/>
      <w:bookmarkStart w:id="124" w:name="z790e841a5f2e49a0af2960348b82511c"/>
      <w:bookmarkEnd w:id="124"/>
    </w:p>
    <w:tbl>
      <w:tblPr>
        <w:tblW w:w="7599" w:type="dxa"/>
        <w:jc w:val="left"/>
        <w:tblInd w:w="0" w:type="dxa"/>
        <w:tblLayout w:type="fixed"/>
        <w:tblCellMar>
          <w:top w:w="0" w:type="dxa"/>
          <w:left w:w="0" w:type="dxa"/>
          <w:bottom w:w="0" w:type="dxa"/>
          <w:right w:w="0" w:type="dxa"/>
        </w:tblCellMar>
      </w:tblPr>
      <w:tblGrid>
        <w:gridCol w:w="1415"/>
        <w:gridCol w:w="60"/>
        <w:gridCol w:w="287"/>
        <w:gridCol w:w="1151"/>
        <w:gridCol w:w="123"/>
        <w:gridCol w:w="123"/>
        <w:gridCol w:w="287"/>
        <w:gridCol w:w="1151"/>
        <w:gridCol w:w="60"/>
        <w:gridCol w:w="60"/>
        <w:gridCol w:w="260"/>
        <w:gridCol w:w="1040"/>
        <w:gridCol w:w="111"/>
        <w:gridCol w:w="111"/>
        <w:gridCol w:w="260"/>
        <w:gridCol w:w="1040"/>
        <w:gridCol w:w="60"/>
      </w:tblGrid>
      <w:tr>
        <w:trPr/>
        <w:tc>
          <w:tcPr>
            <w:tcW w:w="14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22" w:type="dxa"/>
            <w:gridSpan w:val="6"/>
            <w:tcBorders>
              <w:bottom w:val="single" w:sz="12" w:space="0" w:color="000000"/>
            </w:tcBorders>
            <w:tcMar>
              <w:bottom w:w="28" w:type="dxa"/>
            </w:tcMar>
            <w:vAlign w:val="bottom"/>
          </w:tcPr>
          <w:p>
            <w:pPr>
              <w:pStyle w:val="TableContents"/>
              <w:bidi w:val="0"/>
              <w:spacing w:before="0" w:after="0"/>
              <w:jc w:val="center"/>
              <w:rPr>
                <w:b/>
              </w:rPr>
            </w:pPr>
            <w:r>
              <w:rPr>
                <w:b/>
              </w:rPr>
              <w:t>Three Months Ended June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22" w:type="dxa"/>
            <w:gridSpan w:val="6"/>
            <w:tcBorders>
              <w:bottom w:val="single" w:sz="12" w:space="0" w:color="000000"/>
            </w:tcBorders>
            <w:tcMar>
              <w:bottom w:w="28" w:type="dxa"/>
            </w:tcMar>
            <w:vAlign w:val="bottom"/>
          </w:tcPr>
          <w:p>
            <w:pPr>
              <w:pStyle w:val="TableContents"/>
              <w:bidi w:val="0"/>
              <w:spacing w:before="0" w:after="0"/>
              <w:jc w:val="center"/>
              <w:rPr>
                <w:b/>
              </w:rPr>
            </w:pPr>
            <w:r>
              <w:rPr>
                <w:b/>
              </w:rPr>
              <w:t>Six Months Ended June 30,</w:t>
            </w:r>
          </w:p>
        </w:tc>
        <w:tc>
          <w:tcPr>
            <w:tcW w:w="60" w:type="dxa"/>
            <w:tcBorders/>
            <w:vAlign w:val="bottom"/>
          </w:tcPr>
          <w:p>
            <w:pPr>
              <w:pStyle w:val="TableContents"/>
              <w:bidi w:val="0"/>
              <w:spacing w:before="0" w:after="283"/>
              <w:jc w:val="left"/>
              <w:rPr/>
            </w:pPr>
            <w:r>
              <w:rPr/>
              <w:t> </w:t>
            </w:r>
          </w:p>
        </w:tc>
      </w:tr>
      <w:tr>
        <w:trPr/>
        <w:tc>
          <w:tcPr>
            <w:tcW w:w="14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8" w:type="dxa"/>
            <w:gridSpan w:val="2"/>
            <w:tcBorders>
              <w:bottom w:val="single" w:sz="12" w:space="0" w:color="000000"/>
            </w:tcBorders>
            <w:tcMar>
              <w:bottom w:w="28" w:type="dxa"/>
            </w:tcMar>
            <w:vAlign w:val="bottom"/>
          </w:tcPr>
          <w:p>
            <w:pPr>
              <w:pStyle w:val="TableContents"/>
              <w:bidi w:val="0"/>
              <w:spacing w:before="0" w:after="0"/>
              <w:ind w:left="0" w:right="0" w:firstLine="20"/>
              <w:jc w:val="center"/>
              <w:rPr>
                <w:b/>
                <w:color w:val="000000"/>
              </w:rPr>
            </w:pPr>
            <w:r>
              <w:rPr>
                <w:b/>
                <w:color w:val="000000"/>
              </w:rPr>
              <w:t>2026</w:t>
            </w:r>
          </w:p>
        </w:tc>
        <w:tc>
          <w:tcPr>
            <w:tcW w:w="12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38"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60" w:type="dxa"/>
            <w:tcBorders/>
            <w:vAlign w:val="bottom"/>
          </w:tcPr>
          <w:p>
            <w:pPr>
              <w:pStyle w:val="TableContents"/>
              <w:bidi w:val="0"/>
              <w:spacing w:before="0" w:after="283"/>
              <w:jc w:val="left"/>
              <w:rPr/>
            </w:pPr>
            <w:r>
              <w:rPr/>
              <w:t> </w:t>
            </w:r>
          </w:p>
        </w:tc>
      </w:tr>
      <w:tr>
        <w:trPr/>
        <w:tc>
          <w:tcPr>
            <w:tcW w:w="1415" w:type="dxa"/>
            <w:tcBorders/>
            <w:shd w:fill="CCEEFF" w:val="clear"/>
            <w:vAlign w:val="bottom"/>
          </w:tcPr>
          <w:p>
            <w:pPr>
              <w:pStyle w:val="TableContents"/>
              <w:bidi w:val="0"/>
              <w:spacing w:before="0" w:after="0"/>
              <w:jc w:val="left"/>
              <w:rPr>
                <w:color w:val="000000"/>
              </w:rPr>
            </w:pPr>
            <w:r>
              <w:rPr>
                <w:color w:val="000000"/>
              </w:rPr>
              <w:t>United States</w:t>
            </w:r>
          </w:p>
        </w:tc>
        <w:tc>
          <w:tcPr>
            <w:tcW w:w="6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0"/>
              <w:jc w:val="left"/>
              <w:rPr/>
            </w:pPr>
            <w:r>
              <w:rPr/>
              <w:t>$</w:t>
            </w:r>
          </w:p>
        </w:tc>
        <w:tc>
          <w:tcPr>
            <w:tcW w:w="1151" w:type="dxa"/>
            <w:tcBorders/>
            <w:shd w:fill="CCEEFF" w:val="clear"/>
            <w:vAlign w:val="bottom"/>
          </w:tcPr>
          <w:p>
            <w:pPr>
              <w:pStyle w:val="TableContents"/>
              <w:bidi w:val="0"/>
              <w:spacing w:before="0" w:after="0"/>
              <w:jc w:val="right"/>
              <w:rPr/>
            </w:pPr>
            <w:r>
              <w:rPr/>
              <w:t>1,465</w:t>
            </w:r>
          </w:p>
        </w:tc>
        <w:tc>
          <w:tcPr>
            <w:tcW w:w="123"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0"/>
              <w:jc w:val="left"/>
              <w:rPr/>
            </w:pPr>
            <w:r>
              <w:rPr/>
              <w:t>$</w:t>
            </w:r>
          </w:p>
        </w:tc>
        <w:tc>
          <w:tcPr>
            <w:tcW w:w="1151"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0"/>
              <w:jc w:val="left"/>
              <w:rPr/>
            </w:pPr>
            <w:r>
              <w:rPr/>
              <w:t>$</w:t>
            </w:r>
          </w:p>
        </w:tc>
        <w:tc>
          <w:tcPr>
            <w:tcW w:w="1040" w:type="dxa"/>
            <w:tcBorders/>
            <w:shd w:fill="CCEEFF" w:val="clear"/>
            <w:vAlign w:val="bottom"/>
          </w:tcPr>
          <w:p>
            <w:pPr>
              <w:pStyle w:val="TableContents"/>
              <w:bidi w:val="0"/>
              <w:spacing w:before="0" w:after="0"/>
              <w:jc w:val="right"/>
              <w:rPr/>
            </w:pPr>
            <w:r>
              <w:rPr/>
              <w:t>5,155</w:t>
            </w:r>
          </w:p>
        </w:tc>
        <w:tc>
          <w:tcPr>
            <w:tcW w:w="11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0"/>
              <w:jc w:val="left"/>
              <w:rPr/>
            </w:pPr>
            <w:r>
              <w:rPr/>
              <w:t>$</w:t>
            </w:r>
          </w:p>
        </w:tc>
        <w:tc>
          <w:tcPr>
            <w:tcW w:w="104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r>
      <w:tr>
        <w:trPr/>
        <w:tc>
          <w:tcPr>
            <w:tcW w:w="1415" w:type="dxa"/>
            <w:tcBorders/>
            <w:vAlign w:val="bottom"/>
          </w:tcPr>
          <w:p>
            <w:pPr>
              <w:pStyle w:val="TableContents"/>
              <w:bidi w:val="0"/>
              <w:spacing w:before="0" w:after="0"/>
              <w:jc w:val="left"/>
              <w:rPr>
                <w:color w:val="000000"/>
              </w:rPr>
            </w:pPr>
            <w:r>
              <w:rPr>
                <w:color w:val="000000"/>
              </w:rPr>
              <w:t>International</w:t>
            </w:r>
          </w:p>
        </w:tc>
        <w:tc>
          <w:tcPr>
            <w:tcW w:w="60" w:type="dxa"/>
            <w:tcBorders/>
            <w:vAlign w:val="bottom"/>
          </w:tcPr>
          <w:p>
            <w:pPr>
              <w:pStyle w:val="TableContents"/>
              <w:bidi w:val="0"/>
              <w:spacing w:before="0" w:after="283"/>
              <w:jc w:val="left"/>
              <w:rPr/>
            </w:pPr>
            <w:r>
              <w:rPr/>
              <w:t> </w:t>
            </w:r>
          </w:p>
        </w:tc>
        <w:tc>
          <w:tcPr>
            <w:tcW w:w="287" w:type="dxa"/>
            <w:tcBorders>
              <w:bottom w:val="single" w:sz="12" w:space="0" w:color="000000"/>
            </w:tcBorders>
            <w:tcMar>
              <w:bottom w:w="28" w:type="dxa"/>
            </w:tcMar>
            <w:vAlign w:val="bottom"/>
          </w:tcPr>
          <w:p>
            <w:pPr>
              <w:pStyle w:val="TableContents"/>
              <w:bidi w:val="0"/>
              <w:spacing w:before="0" w:after="283"/>
              <w:jc w:val="left"/>
              <w:rPr/>
            </w:pPr>
            <w:r>
              <w:rPr/>
              <w:t> </w:t>
            </w:r>
          </w:p>
        </w:tc>
        <w:tc>
          <w:tcPr>
            <w:tcW w:w="1151" w:type="dxa"/>
            <w:tcBorders>
              <w:bottom w:val="single" w:sz="12" w:space="0" w:color="000000"/>
            </w:tcBorders>
            <w:tcMar>
              <w:bottom w:w="28" w:type="dxa"/>
            </w:tcMar>
            <w:vAlign w:val="bottom"/>
          </w:tcPr>
          <w:p>
            <w:pPr>
              <w:pStyle w:val="TableContents"/>
              <w:bidi w:val="0"/>
              <w:spacing w:before="0" w:after="0"/>
              <w:jc w:val="right"/>
              <w:rPr/>
            </w:pPr>
            <w:r>
              <w:rPr/>
              <w:t>809</w:t>
            </w:r>
          </w:p>
        </w:tc>
        <w:tc>
          <w:tcPr>
            <w:tcW w:w="123"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87" w:type="dxa"/>
            <w:tcBorders>
              <w:bottom w:val="single" w:sz="12" w:space="0" w:color="000000"/>
            </w:tcBorders>
            <w:tcMar>
              <w:bottom w:w="28" w:type="dxa"/>
            </w:tcMar>
            <w:vAlign w:val="bottom"/>
          </w:tcPr>
          <w:p>
            <w:pPr>
              <w:pStyle w:val="TableContents"/>
              <w:bidi w:val="0"/>
              <w:spacing w:before="0" w:after="283"/>
              <w:jc w:val="left"/>
              <w:rPr/>
            </w:pPr>
            <w:r>
              <w:rPr/>
              <w:t> </w:t>
            </w:r>
          </w:p>
        </w:tc>
        <w:tc>
          <w:tcPr>
            <w:tcW w:w="1151" w:type="dxa"/>
            <w:tcBorders>
              <w:bottom w:val="single" w:sz="12" w:space="0" w:color="000000"/>
            </w:tcBorders>
            <w:tcMar>
              <w:bottom w:w="28" w:type="dxa"/>
            </w:tcMar>
            <w:vAlign w:val="bottom"/>
          </w:tcPr>
          <w:p>
            <w:pPr>
              <w:pStyle w:val="TableContents"/>
              <w:bidi w:val="0"/>
              <w:spacing w:before="0" w:after="0"/>
              <w:jc w:val="right"/>
              <w:rPr/>
            </w:pPr>
            <w:r>
              <w:rPr/>
              <w:t>1,101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40" w:type="dxa"/>
            <w:tcBorders>
              <w:bottom w:val="single" w:sz="12" w:space="0" w:color="000000"/>
            </w:tcBorders>
            <w:tcMar>
              <w:bottom w:w="28" w:type="dxa"/>
            </w:tcMar>
            <w:vAlign w:val="bottom"/>
          </w:tcPr>
          <w:p>
            <w:pPr>
              <w:pStyle w:val="TableContents"/>
              <w:bidi w:val="0"/>
              <w:spacing w:before="0" w:after="0"/>
              <w:jc w:val="right"/>
              <w:rPr/>
            </w:pPr>
            <w:r>
              <w:rPr/>
              <w:t>1,341</w:t>
            </w:r>
          </w:p>
        </w:tc>
        <w:tc>
          <w:tcPr>
            <w:tcW w:w="111"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2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40" w:type="dxa"/>
            <w:tcBorders>
              <w:bottom w:val="single" w:sz="12" w:space="0" w:color="000000"/>
            </w:tcBorders>
            <w:tcMar>
              <w:bottom w:w="28" w:type="dxa"/>
            </w:tcMar>
            <w:vAlign w:val="bottom"/>
          </w:tcPr>
          <w:p>
            <w:pPr>
              <w:pStyle w:val="TableContents"/>
              <w:bidi w:val="0"/>
              <w:spacing w:before="0" w:after="0"/>
              <w:jc w:val="right"/>
              <w:rPr/>
            </w:pPr>
            <w:r>
              <w:rPr/>
              <w:t>1,495</w:t>
            </w:r>
          </w:p>
        </w:tc>
        <w:tc>
          <w:tcPr>
            <w:tcW w:w="60" w:type="dxa"/>
            <w:tcBorders/>
            <w:vAlign w:val="bottom"/>
          </w:tcPr>
          <w:p>
            <w:pPr>
              <w:pStyle w:val="TableContents"/>
              <w:bidi w:val="0"/>
              <w:spacing w:before="0" w:after="283"/>
              <w:jc w:val="left"/>
              <w:rPr/>
            </w:pPr>
            <w:r>
              <w:rPr/>
              <w:t> </w:t>
            </w:r>
          </w:p>
        </w:tc>
      </w:tr>
      <w:tr>
        <w:trPr/>
        <w:tc>
          <w:tcPr>
            <w:tcW w:w="1415" w:type="dxa"/>
            <w:tcBorders/>
            <w:shd w:fill="CCEEFF" w:val="clear"/>
            <w:vAlign w:val="bottom"/>
          </w:tcPr>
          <w:p>
            <w:pPr>
              <w:pStyle w:val="TableContents"/>
              <w:bidi w:val="0"/>
              <w:spacing w:before="0" w:after="0"/>
              <w:ind w:left="180" w:right="0" w:hanging="0"/>
              <w:jc w:val="left"/>
              <w:rPr/>
            </w:pPr>
            <w:r>
              <w:rPr/>
              <w:t>Total Revenue</w:t>
            </w:r>
          </w:p>
        </w:tc>
        <w:tc>
          <w:tcPr>
            <w:tcW w:w="60" w:type="dxa"/>
            <w:tcBorders/>
            <w:shd w:fill="CCEEFF" w:val="clear"/>
            <w:vAlign w:val="bottom"/>
          </w:tcPr>
          <w:p>
            <w:pPr>
              <w:pStyle w:val="TableContents"/>
              <w:bidi w:val="0"/>
              <w:spacing w:before="0" w:after="283"/>
              <w:jc w:val="left"/>
              <w:rPr/>
            </w:pPr>
            <w:r>
              <w:rPr/>
              <w:t> </w:t>
            </w:r>
          </w:p>
        </w:tc>
        <w:tc>
          <w:tcPr>
            <w:tcW w:w="287"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51"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2,274</w:t>
            </w:r>
          </w:p>
        </w:tc>
        <w:tc>
          <w:tcPr>
            <w:tcW w:w="123"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287"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151" w:type="dxa"/>
            <w:tcBorders>
              <w:bottom w:val="double" w:sz="8" w:space="0" w:color="000000"/>
            </w:tcBorders>
            <w:shd w:fill="CCEEFF" w:val="clear"/>
            <w:tcMar>
              <w:bottom w:w="28" w:type="dxa"/>
            </w:tcMar>
            <w:vAlign w:val="bottom"/>
          </w:tcPr>
          <w:p>
            <w:pPr>
              <w:pStyle w:val="TableContents"/>
              <w:bidi w:val="0"/>
              <w:spacing w:before="0" w:after="0"/>
              <w:jc w:val="right"/>
              <w:rPr/>
            </w:pPr>
            <w:r>
              <w:rPr/>
              <w:t>1,101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4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6,496</w:t>
            </w:r>
          </w:p>
        </w:tc>
        <w:tc>
          <w:tcPr>
            <w:tcW w:w="111"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26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4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1,495</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During the year ended June 30, 2026, $5.2 million of the Company’s consolidated revenue is attributable to one customer. As of  June 30, 2026 and December 31, 2025, all of the Company’s long-lived assets and right-of-use assets are located in the United States.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bookmarkStart w:id="125" w:name="Section25"/>
      <w:bookmarkEnd w:id="125"/>
      <w:r>
        <w:rPr>
          <w:rFonts w:ascii="Times New Roman" w:hAnsi="Times New Roman"/>
          <w:b/>
          <w:color w:val="000000"/>
          <w:sz w:val="20"/>
        </w:rPr>
        <w:t>Note 18— Subsequent Events</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Company has evaluated subsequent events through Aug 13 2026, the date these unaudited interim condensed consolidated financial statements were available to be issued.</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Business Combination</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On December 5, 2025, the Company entered into a Business Combination Agreement with Perceptive Capital Solutions Corp (“PCSC”), a publicly traded special purpose acquisition company, and certain of its subsidiaries. On July 20, 2026, the Company completed the transactions contemplated by the Business Combination Agreement, as amended (the “Business Combination” or the “Closing”).</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In connection with the Business Combination, PCSC domesticated from the Cayman Islands to the State of Delaware, changed its name to Freenome, Inc. (“New Freenome”), and adopted a new certificate of incorporation and bylaws. Through a series of merger transactions, the Company became a wholly owned subsidiary of New Freenome.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Upon the Closing, the outstanding shares of the Company’s common stock and preferred stock were converted into an aggregate of 68,065,429 shares of New Freenome common stock based on an exchange ratio of approximately 0.282895. In addition, outstanding options to purchase shares of the Company’s common stock were converted into options to purchase an aggregate of 8,272,601 shares of New Freenome common stock, with the number of underlying shares and exercise prices adjusted based on the exchange ratio. Outstanding restricted stock units of the Company were converted into restricted stock units covering an aggregate of 4,034,512 shares of New Freenome common stock.</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Upon the Closing, the $75.0 million outstanding principal amount and $2.5 million of accrued interest under the convertible promissory note issued to Roche Holdings, Inc. were converted into 6,460,616 shares of New Freenome common stock.</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In connection with the Closing, New Freenome received aggregate gross proceeds of approximately $310.7 million, including $240.0 million of gross proceeds from a private investment in public equity (“PIPE”) financing that closed concurrently with the Business Combination. After giving effect to transaction costs, New Freenome received net proceeds of approximately $295.5 million. Deferred offering costs recorded on the balance sheet were netted off against the net proceeds from the de-SPAC transaction upon closing.</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Business Combination was accounted for as a reverse recapitalization, with the Company determined to be the accounting acquirer and PCSC treated as the acquired company for financial reporting purposes. Accordingly, the historical financial statements of the Company became the historical financial statements of New Freenome upon the Closing.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26</w:t>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126" w:name="ef20080133_ex99-2.htm"/>
      <w:bookmarkStart w:id="127" w:name="ksef20080133_ex992"/>
      <w:bookmarkStart w:id="128" w:name="ef20080133_ex99-2.htm"/>
      <w:bookmarkStart w:id="129" w:name="ksef20080133_ex992"/>
      <w:bookmarkEnd w:id="128"/>
      <w:bookmarkEnd w:id="129"/>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99.2</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MANAGEMENT’S DISCUSSION AND ANALYSIS OF</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FINANCIAL CONDITION AND RESULTS OF OPERATIONS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r>
        <w:rPr>
          <w:rFonts w:ascii="Times New Roman" w:hAnsi="Times New Roman"/>
          <w:i/>
          <w:color w:val="000000"/>
          <w:sz w:val="20"/>
        </w:rPr>
        <w:t>The following discussion and analysis of the financial condition and results of operations of Freenome Inc. (“New Freenome,”, “we,” “us,” and “our”) should be read in conjunction with our unaudited interim condensed consolidated financial statements as of and for the three and six months ended June 30, 2026 and 2025, and the audited consolidated financial statements as of and for the year ended December 31, 2025, and in each case, together with the related notes thereto, included elsewhere in this Current Report on Form 8-K with respect to the unaudited condensed consolidated financial statements or included in the proxy statement/prospectus filed with the SEC on June 17, 2026 incorporated herein by reference with respect to the audited consolidated financial statements only.  The discussion and analysis should also be read together with the pro forma financial information included in this Current Report on Form 8-K in the section titled “Unaudited Pro Forma Condensed Combined Financial Information.”</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bookmarkStart w:id="130" w:name="Section27"/>
      <w:bookmarkEnd w:id="130"/>
      <w:r>
        <w:rPr>
          <w:rFonts w:ascii="Times New Roman" w:hAnsi="Times New Roman"/>
          <w:b/>
          <w:color w:val="000000"/>
          <w:sz w:val="20"/>
        </w:rPr>
        <w:t>Forward-Looking Statements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i/>
          <w:color w:val="000000"/>
          <w:sz w:val="20"/>
        </w:rPr>
      </w:pPr>
      <w:r>
        <w:rPr>
          <w:rFonts w:ascii="Times New Roman" w:hAnsi="Times New Roman"/>
          <w:i/>
          <w:color w:val="000000"/>
          <w:sz w:val="20"/>
        </w:rPr>
        <w:t>This discussion and analysis contains forward-looking statements within the meaning of Section 27A of the Securities Act of 1933, as amended, and Section 21E of the Securities Exchange Act of 1934, as amended, that are intended to be covered by the “safe harbor” created by those sections. Forward-looking statements, which are based on certain assumptions and describe our future plans, strategies and expectations, can generally be identified by the use of forward-looking terms such as “believe,” “expect,” “may,” “will,” “should,” “would,” “could,” “seek,” “intend,” “plan,” “goal,” “project,” “estimate,” “anticipate” or other comparable terms, but the absence of these words does not mean that a statement is not forward-looking. All statements other than statements of historical facts included in this discussion and analysis regarding our strategies, prospects, expectations, financial condition, operations, costs, plans and objectives are forward-looking statements. Examples of forward-looking statements include, among others, statements we make, express or implied, regarding expected future operating results, including: our growth rate and market opportunity; expectations for development or launching of new or improved products and services and their adoption and impact on patients; insurance reimbursement potential; our strategies, clinical trials, commercialization efforts, positioning, competition, resources, capabilities and expectations for future events or performance; the anticipated benefits of our acquisitions and collaborative and licensing arrangements, including estimated synergies and other financial impacts; our need to raise additional capital to fund our existing operations, develop our platform, commercialize new products or expand our operations; and our expectations regarding financial results, including the expected cash runway. Forward-looking statements are neither historical facts nor assurances of future performance or events. Instead, they are based only on current beliefs, expectations, and assumptions regarding the future of our business, future plans and strategies, projections, anticipated events and trends, the economy, and other future conditions. Because forward-looking statements relate to the future, they are subject to inherent uncertainties, risks and changes in circumstances that are difficult to predict and many of which are outside of our control. Actual results, conditions, and events may differ materially from those indicated in the forward-looking statements. Therefore, you should not rely on any of these forward-looking statements. Important factors that could cause actual results, conditions, and events to differ materially from those indicated in the forward-looking statements include, among others, the following: our ability to support demand for our current and future products, including our ability to meet increased demand and to successfully manage our anticipated growth; our ability to successfully develop and commercialize new products and services and assess potential market opportunities; our ability to successfully and profitably market our products and services; the acceptance of our products and services by patients and healthcare providers; our reliance upon certain suppliers; our ability to retain and hire key personnel; approval and maintenance of adequate reimbursement rates for our products and services within and outside of the U.S.; the amount and nature of competition for our products and services; the effects of any judicial, executive or legislative action affecting us or the healthcare system; changes in government policies, laws, regulations, and staffing; recommendations, guidelines and quality metrics issued by various organizations regarding cancer screening or our products and services; our ability to obtain and maintain regulatory approvals and comply with applicable regulations; our ability to protect and enforce our intellectual property; our success establishing and maintaining collaborative, licensing and supplier arrangements; the results of our validation studies and clinical trials, including the risks that the results of future studies and trials may differ materially from the results of previously completed studies and trials; our ability to manage an international business and our expectations regarding our international expansion and opportunities; the potential effects of changing macroeconomic conditions and geopolitical conflict; the possibility that the anticipated benefits from our business acquisitions or collaborative or licensing arrangements will not be realized in full or at all or may take longer to realize than expected; the possibility that the anticipated benefits from our restructuring and cost reduction initiatives will not be realized in full or at all or may take longer to realize than expected; the outcome of any potential litigation or legal proceedings; our ability to raise the capital necessary to support our operations or meet our payment obligations under our indebtedness; our potential exposure to cybersecurity risks and incidents; and our and our service providers’ ability to maintain compliance with privacy and data security laws. The risks included above are not exhaustive, and we anticipate that subsequent events and developments will cause our assessments to change. You are further cautioned not to place undue reliance upon any such forward-looking statements, which speak only as of the date made. We undertake no obligation to update or revise any forward-looking statements, whether as a result of new information, future events or otherwise, except as may be required under applicable securities laws.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Overview</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We are an early cancer detection company developing blood-based screening tests leveraging AI/ML to transform multi-cancer and ultimately multi-disease detection. We founded Freenome with the goal to build an automated, scalable multiomics discovery platform and biologically-informed AI/ML designed to identify the earliest signs of disease. Our common platform is designed to evaluate and integrate multiple analytes (e.g., DNA, RNA and proteins) with differentiated wetlab automation capabilities and high-quality clinical trials to develop accurate tests with the potential to address cancer heterogeneity.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In July 2026, we announced that the U.S. Food and Drug Administration (“FDA”) approved SimpleScreen™ CRC, a new blood-based screening option for colorectal cancer (“CRC”) in adults 45 and older who are at average risk for the disease. Prior to this, we had no products approved for commercial sale in the United States and had not generated any material revenue to date. We continue to incur significant R&amp;D and other expenses related to our ongoing operations. Our ability to generate product revenue sufficient to achieve profitability, if ever, will depend on the successful commercialization of SimpleScreen CRC and future development of multi-cancer early detection tests.</w:t>
      </w:r>
    </w:p>
    <w:p>
      <w:pPr>
        <w:pStyle w:val="TextBody"/>
        <w:bidi w:val="0"/>
        <w:spacing w:before="0" w:after="0"/>
        <w:ind w:left="0" w:right="0" w:firstLine="720"/>
        <w:jc w:val="left"/>
        <w:rPr>
          <w:color w:val="000000"/>
        </w:rPr>
      </w:pPr>
      <w:r>
        <w:rPr>
          <w:color w:val="000000"/>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We are also developing a blood-based lung cancer screening test intended for individuals at elevated risk, including current and former smokers who meet guideline-based eligibility criteria. We plan to introduce the lung cancer test as a laboratory developed test (“LDT”) in the second half of 2026. Based on the Company's recently disclosed SimpleScreen Lung LDT validation data, the initial test launch will include only the assay's protein component. Development of the multiomic test will remain the focus of the in vitro diagnostic program.</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The Business Combination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On December 5, 2025, we entered into a Business Combination Agreement with Perceptive Capital Solutions Corp (“PCSC”), a publicly traded special purpose acquisition company, and certain of its subsidiaries. On July 20, 2026, we completed the transactions contemplated by the Business Combination Agreement, as amended on July 20, 2026 (the “Business Combination” or the “Closing”).</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In connection with the Business Combination, PCSC domesticated from the Cayman Islands to the State of Delaware, changed its name to Freenome, Inc. (“New Freenome”), and adopted a new certificate of incorporation and bylaws. Through a series of merger transactions, we became a wholly owned subsidiary of New Freenome.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Upon the Closing, the outstanding shares of our common stock and preferred stock were converted into an aggregate of 68,065,429 shares of New Freenome common stock based on an exchange ratio of approximately 0.282895. In addition, outstanding options to purchase shares of our common stock were converted into options to purchase an aggregate of 8,272,601 shares of New Freenome common stock, with the number of underlying shares and exercise prices adjusted based on the exchange ratio. Our outstanding restricted stock units were converted into restricted stock units covering an aggregate of 4,034,512 shares of New Freenome common stock.</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We also received aggregate gross proceeds of approximately $310.7 million, including $240.0 million of gross proceeds from a private investment in public equity (“PIPE”) financing that closed concurrently with the Business Combination. After giving effect to transaction costs, we received net proceeds of approximately $295.5 million. Deferred offering costs previously recorded on the balance sheet were reclassified as a reduction of the proceeds from the de-SPAC transaction upon the Closing.</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Immediately prior to the Closing, the outstanding principal and accrued interest under the convertible promissory note issued to Roche Holdings, Inc. converted into 6,460,616 shares of New Freenome common stock in accordance with the terms of the note.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Business Combination was accounted for as a reverse recapitalization, with the Company determined to be the accounting acquirer and PCSC treated as the acquired company for financial reporting purposes. Accordingly, the historical financial statements of the Company became the historical financial statements of New Freenome upon the Closing.</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As a result of the Business Combination, Freenome became the successor to an SEC-registered and Nasdaq-listed company. Accordingly, Freenome will need to hire additional personnel and implement procedures and processes to comply with public company regulatory requirements and customary governance practices. Freenome also expects to incur additional recurring annual expenses associated with operating as a public company, including directors' and officers' liability insurance, director compensation, and increased accounting, legal, compliance, and administrative costs, including additional personnel, audit fees, and other professional service fees.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Key Trends, Opportunities and Uncertainties</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Since our inception, we have incurred significant operating losses and negative cash flows from our operations. Our primary uses of cash to date have been conducting R&amp;D, acquiring Oncimmune in 2023, raising capital, building infrastructure, developing intellectual property, hiring personnel and providing general and administrative support for these operations. To date, we have funded our operations primarily through private placements of our convertible preferred stock, convertible notes and funds received pursuant to our license agreements. As of June 30, 2026, we had raised aggregate gross proceeds of approximately $1.6 billion from these financings, and had cash, cash equivalents and short-term marketable securities of $102.0 million.</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We have incurred operating losses in each year since our inception. Our net losses were $132.6 million for the six months ended June 30, 2026 and $219.3 million for the year ended December 31, 2025. As of June 30, 2026, we had an accumulated deficit of $1.5 billion. We expect our expenses and operating losses will increase as we: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31" w:name="z67a2f975166941a284cde603c6c0073a"/>
      <w:bookmarkStart w:id="132" w:name="z67a2f975166941a284cde603c6c0073a"/>
      <w:bookmarkEnd w:id="132"/>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left"/>
              <w:rPr>
                <w:color w:val="000000"/>
              </w:rPr>
            </w:pPr>
            <w:r>
              <w:rPr>
                <w:color w:val="000000"/>
              </w:rPr>
              <w:t>accelerate the development of our AI/ML-driven multiomics platform that seeks to identify the early biological signals of disease;</w:t>
            </w:r>
          </w:p>
        </w:tc>
      </w:tr>
    </w:tbl>
    <w:p>
      <w:pPr>
        <w:pStyle w:val="Normal"/>
        <w:bidi w:val="0"/>
        <w:spacing w:before="0" w:after="0"/>
        <w:jc w:val="left"/>
        <w:rPr>
          <w:sz w:val="4"/>
          <w:szCs w:val="4"/>
        </w:rPr>
      </w:pPr>
      <w:r>
        <w:rPr>
          <w:sz w:val="4"/>
          <w:szCs w:val="4"/>
        </w:rPr>
      </w:r>
      <w:bookmarkStart w:id="133" w:name="z486587b30be7478e8150c3a432ca0217"/>
      <w:bookmarkStart w:id="134" w:name="z486587b30be7478e8150c3a432ca0217"/>
      <w:bookmarkEnd w:id="134"/>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left"/>
              <w:rPr>
                <w:color w:val="000000"/>
              </w:rPr>
            </w:pPr>
            <w:r>
              <w:rPr>
                <w:color w:val="000000"/>
              </w:rPr>
              <w:t>expand our commercial and data infrastructure to support future launch of multiple blood-based cancer detection tests;</w:t>
            </w:r>
          </w:p>
        </w:tc>
      </w:tr>
    </w:tbl>
    <w:p>
      <w:pPr>
        <w:pStyle w:val="Normal"/>
        <w:bidi w:val="0"/>
        <w:spacing w:before="0" w:after="0"/>
        <w:jc w:val="left"/>
        <w:rPr>
          <w:sz w:val="4"/>
          <w:szCs w:val="4"/>
        </w:rPr>
      </w:pPr>
      <w:r>
        <w:rPr>
          <w:sz w:val="4"/>
          <w:szCs w:val="4"/>
        </w:rPr>
      </w:r>
      <w:bookmarkStart w:id="135" w:name="z4f425044f0234cf1be0af4a85d991c1b"/>
      <w:bookmarkStart w:id="136" w:name="z4f425044f0234cf1be0af4a85d991c1b"/>
      <w:bookmarkEnd w:id="136"/>
    </w:p>
    <w:tbl>
      <w:tblPr>
        <w:tblW w:w="3618" w:type="dxa"/>
        <w:jc w:val="left"/>
        <w:tblInd w:w="0" w:type="dxa"/>
        <w:tblLayout w:type="fixed"/>
        <w:tblCellMar>
          <w:top w:w="0" w:type="dxa"/>
          <w:left w:w="0" w:type="dxa"/>
          <w:bottom w:w="0" w:type="dxa"/>
          <w:right w:w="0" w:type="dxa"/>
        </w:tblCellMar>
      </w:tblPr>
      <w:tblGrid>
        <w:gridCol w:w="38"/>
        <w:gridCol w:w="110"/>
        <w:gridCol w:w="347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3470" w:type="dxa"/>
            <w:tcBorders/>
            <w:vAlign w:val="center"/>
          </w:tcPr>
          <w:p>
            <w:pPr>
              <w:pStyle w:val="TableContents"/>
              <w:bidi w:val="0"/>
              <w:spacing w:before="0" w:after="0"/>
              <w:jc w:val="left"/>
              <w:rPr>
                <w:color w:val="000000"/>
              </w:rPr>
            </w:pPr>
            <w:r>
              <w:rPr>
                <w:color w:val="000000"/>
              </w:rPr>
              <w:t>further advance our R&amp;D programs;</w:t>
            </w:r>
          </w:p>
        </w:tc>
      </w:tr>
    </w:tbl>
    <w:p>
      <w:pPr>
        <w:pStyle w:val="Normal"/>
        <w:bidi w:val="0"/>
        <w:spacing w:before="0" w:after="0"/>
        <w:jc w:val="left"/>
        <w:rPr>
          <w:sz w:val="4"/>
          <w:szCs w:val="4"/>
        </w:rPr>
      </w:pPr>
      <w:r>
        <w:rPr>
          <w:sz w:val="4"/>
          <w:szCs w:val="4"/>
        </w:rPr>
      </w:r>
      <w:bookmarkStart w:id="137" w:name="z6568eac81bbd4b56bd2f38a63492bbdb"/>
      <w:bookmarkStart w:id="138" w:name="z6568eac81bbd4b56bd2f38a63492bbdb"/>
      <w:bookmarkEnd w:id="138"/>
    </w:p>
    <w:tbl>
      <w:tblPr>
        <w:tblW w:w="3753" w:type="dxa"/>
        <w:jc w:val="left"/>
        <w:tblInd w:w="0" w:type="dxa"/>
        <w:tblLayout w:type="fixed"/>
        <w:tblCellMar>
          <w:top w:w="0" w:type="dxa"/>
          <w:left w:w="0" w:type="dxa"/>
          <w:bottom w:w="0" w:type="dxa"/>
          <w:right w:w="0" w:type="dxa"/>
        </w:tblCellMar>
      </w:tblPr>
      <w:tblGrid>
        <w:gridCol w:w="38"/>
        <w:gridCol w:w="110"/>
        <w:gridCol w:w="360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3605" w:type="dxa"/>
            <w:tcBorders/>
            <w:vAlign w:val="center"/>
          </w:tcPr>
          <w:p>
            <w:pPr>
              <w:pStyle w:val="TableContents"/>
              <w:bidi w:val="0"/>
              <w:spacing w:before="0" w:after="0"/>
              <w:jc w:val="left"/>
              <w:rPr>
                <w:color w:val="000000"/>
              </w:rPr>
            </w:pPr>
            <w:r>
              <w:rPr>
                <w:color w:val="000000"/>
              </w:rPr>
              <w:t>seek to identify additional indications;</w:t>
            </w:r>
          </w:p>
        </w:tc>
      </w:tr>
    </w:tbl>
    <w:p>
      <w:pPr>
        <w:pStyle w:val="Normal"/>
        <w:bidi w:val="0"/>
        <w:spacing w:before="0" w:after="0"/>
        <w:jc w:val="left"/>
        <w:rPr>
          <w:sz w:val="4"/>
          <w:szCs w:val="4"/>
        </w:rPr>
      </w:pPr>
      <w:r>
        <w:rPr>
          <w:sz w:val="4"/>
          <w:szCs w:val="4"/>
        </w:rPr>
      </w:r>
      <w:bookmarkStart w:id="139" w:name="zd07511d9cc104db7bdef22650684b78b"/>
      <w:bookmarkStart w:id="140" w:name="zd07511d9cc104db7bdef22650684b78b"/>
      <w:bookmarkEnd w:id="140"/>
    </w:p>
    <w:tbl>
      <w:tblPr>
        <w:tblW w:w="4578" w:type="dxa"/>
        <w:jc w:val="left"/>
        <w:tblInd w:w="0" w:type="dxa"/>
        <w:tblLayout w:type="fixed"/>
        <w:tblCellMar>
          <w:top w:w="0" w:type="dxa"/>
          <w:left w:w="0" w:type="dxa"/>
          <w:bottom w:w="0" w:type="dxa"/>
          <w:right w:w="0" w:type="dxa"/>
        </w:tblCellMar>
      </w:tblPr>
      <w:tblGrid>
        <w:gridCol w:w="38"/>
        <w:gridCol w:w="110"/>
        <w:gridCol w:w="443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4430" w:type="dxa"/>
            <w:tcBorders/>
            <w:vAlign w:val="center"/>
          </w:tcPr>
          <w:p>
            <w:pPr>
              <w:pStyle w:val="TableContents"/>
              <w:bidi w:val="0"/>
              <w:spacing w:before="0" w:after="0"/>
              <w:jc w:val="left"/>
              <w:rPr>
                <w:color w:val="000000"/>
              </w:rPr>
            </w:pPr>
            <w:r>
              <w:rPr>
                <w:color w:val="000000"/>
              </w:rPr>
              <w:t>expand commercial and operational personnel;</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41" w:name="zdd09fd6090424aa9adc7673d6d66b829"/>
      <w:bookmarkStart w:id="142" w:name="zdd09fd6090424aa9adc7673d6d66b829"/>
      <w:bookmarkEnd w:id="142"/>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left"/>
              <w:rPr>
                <w:color w:val="000000"/>
              </w:rPr>
            </w:pPr>
            <w:r>
              <w:rPr>
                <w:color w:val="000000"/>
              </w:rPr>
              <w:t>maintain, expand, enforce, defend and protect our intellectual property portfolio and provide reimbursement of third-party expenses related to our patent portfolio; and</w:t>
            </w:r>
          </w:p>
        </w:tc>
      </w:tr>
    </w:tbl>
    <w:p>
      <w:pPr>
        <w:pStyle w:val="Normal"/>
        <w:bidi w:val="0"/>
        <w:spacing w:before="0" w:after="0"/>
        <w:jc w:val="left"/>
        <w:rPr>
          <w:sz w:val="4"/>
          <w:szCs w:val="4"/>
        </w:rPr>
      </w:pPr>
      <w:r>
        <w:rPr>
          <w:sz w:val="4"/>
          <w:szCs w:val="4"/>
        </w:rPr>
      </w:r>
      <w:bookmarkStart w:id="143" w:name="z6657ff2e00dd4ef5b183c20b50877237"/>
      <w:bookmarkStart w:id="144" w:name="z6657ff2e00dd4ef5b183c20b50877237"/>
      <w:bookmarkEnd w:id="144"/>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left"/>
              <w:rPr>
                <w:color w:val="000000"/>
              </w:rPr>
            </w:pPr>
            <w:r>
              <w:rPr>
                <w:color w:val="000000"/>
              </w:rPr>
              <w:t>seek regulatory approvals for any future product candidates for which we successfully complete clinical trials.</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Our net losses may fluctuate significantly from quarter-to-quarter and year-to-year, depending on the timing of regulatory approvals and R&amp;D activities.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Based on our current operating plans, we believe that our existing cash, cash equivalents, and short-term marketable securities, together with the $295.5 million net proceeds received from the Business Combination and our expected $100.0 million milestone payment from Exact Sciences following FDA approval of SimpleScreen CRC, will be sufficient to fund our operations through 2028. This estimate is based on assumptions that may prove to be incorrect, and we could use our capital resources sooner than expected. Accordingly, we may need to raise additional capital in the future through equity offerings, debt financings, collaborations, licensing arrangements, or other strategic transactions. If additional funding is not available on acceptable terms, or at all, it could adversely affect our business, financial condition, and ability to execute our long-term operating plans.</w:t>
      </w:r>
    </w:p>
    <w:p>
      <w:pPr>
        <w:pStyle w:val="TextBody"/>
        <w:bidi w:val="0"/>
        <w:spacing w:before="0" w:after="0"/>
        <w:jc w:val="left"/>
        <w:rPr/>
      </w:pPr>
      <w:r>
        <w:rPr/>
      </w:r>
    </w:p>
    <w:p>
      <w:pPr>
        <w:pStyle w:val="TextBody"/>
        <w:bidi w:val="0"/>
        <w:spacing w:before="0" w:after="0"/>
        <w:ind w:left="0" w:right="0" w:firstLine="720"/>
        <w:jc w:val="left"/>
        <w:rPr>
          <w:color w:val="000000"/>
        </w:rPr>
      </w:pPr>
      <w:r>
        <w:rPr>
          <w:color w:val="000000"/>
        </w:rPr>
        <w:t> </w:t>
      </w:r>
      <w:r>
        <w:rPr>
          <w:rFonts w:ascii="Times New Roman" w:hAnsi="Times New Roman"/>
          <w:color w:val="000000"/>
          <w:sz w:val="20"/>
        </w:rPr>
        <w:t>Following the FDA approval of our CRC test, we expect to incur significant commercialization expenses related to product sales, marketing, manufacturing, distribution, and other activities necessary to support the commercial launch and ongoing commercialization of the product. Accordingly, until such time as we can generate significant revenue from sales of our product and any product candidates, we expect to finance our cash needs through equity offerings, debt financings or other capital sources, including potential collaborations, licenses, royalty financings and other similar arrangements. See “Liquidity and Capital Resources.” However, we may be unable to raise additional funds or enter into such other arrangements when needed on favorable terms or at all. Our failure to raise capital or enter into such other arrangements when needed would have a negative impact on our financial condition and could force us to delay, limit, reduce or terminate our product development or future commercialization efforts or grant rights to develop and market current or future product candidates that we would otherwise prefer to develop and market ourselves.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Exact Sciences License Agreement</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In August 2025, we signed an exclusive license agreement with Exact Sciences to advance the commercialization of our blood-based screening test for colorectal cancer. The terms of the license agreement included a $75.0 million upfront payment, received in November 2025, related to partial consideration for the rights and licenses granted. The agreement also provides for up to $700.0 million in future milestone payments upon the achievement of specified development and regulatory milestones, as well as reimbursement of up to $20.0 million of mutually agreed development costs per year over a three-year period as well as tiered royalties on U.S. sales of CRC blood-based screening test products that may result from the collaboration, including a maximum royalty rate of 10% triggered at a 20% gross margin. During the three months ended June 30, 2026, we received a $17.2 million payment from Exact Sciences related to reimbursement of research and development services that were performed during the period.</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In August 2025, we also entered into a Convertible Promissory Note Purchase Agreement with Exact Sciences, pursuant to which we issued a senior unsecured convertible promissory note with an aggregate principal amount of $50.0 million. The convertible note bears interest at 5% per annum and matures in August 2030. Following the closing of the Business Combination, the convertible promissory note will automatically convert into shares of our common stock on the date the volume-weighted average trading price of our common stock exceeds $15.00 per share for 10 consecutive trading days.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Roche License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In November 2025, we signed an exclusive license and option agreement with Roche Sequencing Solutions, Inc. (“Roche Sequencing”). The agreement grants Roche Sequencing both (i) an exclusive option to obtain an exclusive, royalty bearing, sublicensable (subject to certain restrictions) license to certain our intellectual property to exploit kitted assays for cancer screening, including for colorectal cancer and lung cancer, outside the U.S. and (ii) a preferred partner right to negotiate a definitive agreement to offer centralized testing services for cancer screening outside of the U.S.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We may receive up to $100.0 million in future milestone payments, as well as royalties on non-U.S. test sales that range from a low single-digits to mid-teens, depending on sales of the Licensed Products. We may also receive up to $24.0 million in SBX research and development related milestones payments.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In November 2025, we also issued to Roche Holdings, Inc. (“Roche Holdings”) a convertible promissory note with an aggregate principal amount of $75.0 million. The convertible promissory note bore interest at 5% per annum and had a maturity date in May 2027. Upon the Closing, the $75.0 million outstanding principal amount and $2.5 million of accrued interest under the convertible promissory note issued to Roche Holdings, Inc. were converted into 6,460,616 shares of New Freenome common stock.</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Components of Results of Operations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We recognize license and collaboration revenue in the United States under our exclusive license agreement with Abbott (formerly Exact Sciences), pursuant to which we granted development, data, and manufacturing licenses.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We also generate revenue from the sale and distribution of EarlyCDT Lung test kits in the United Kingdom and other international markets, royalties on EarlyCDT Lung tests performed, and the sale of EarlyCDT Lung test plates through our U.K.-based subsidiary, Freenome Ltd.</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In addition, we generate revenue from diagnostic and research services performed using our proprietary multiomics platform under a Research Services Agreement with a related party.</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Following the FDA approval of SimpleScreen CRC, we achieved the first regulatory milestone under our collaboration and license agreement with Abbott, resulting in a $100.0 million milestone payment. We expect to generate additional revenue under this agreement upon the achievement of certain future milestones, as well as royalties on product sales. We may also generate revenue from future collaboration or license agreements for our current or future product candidates and from product sales of any additional approved products. Our ability to generate future revenue will depend on the successful commercialization and market adoption of SimpleScreen CRC, the achievement of additional contractual milestones, the successful development and commercialization of future product candidates, and market acceptance of our products. If we fail to successfully commercialize SimpleScreen CRC or develop and commercialize future product candidates, our ability to generate future revenue and our results of operations and financial condition could be adversely affected.</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Operating Expenses</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Cost of services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Cost of services reflects the aggregate costs incurred in delivering our products and services and is composed of material and service costs including personnel costs, cost of consumables, kits, contract maintenance, labor, and freight associated with the service and other revenue. Our cost of services will increase with successful commercialization of our products.</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R&amp;D has been, and will continue to be, central to our business model. Our R&amp;D expenses to date have been primarily attributable to the development of our next-generation blood tests for early cancer detection, development of our multiomics platform, and clinical validation of our early colorectal cancer detection test. Our R&amp;D expenses primarily include salaries and benefits, stock-based compensation expenses, direct research and development expenses (testing cost, pre-clinical and clinical trial costs including external R&amp;D expenses incurred under arrangements with third parties), materials, laboratory supplies and equipment, information technology (including cloud computing and data storage, equipment and computer hardware costs, and software related expenses), facility costs (including rent, depreciation and amortization, repairs and maintenance and other facility related expenses), consulting, contractor costs, along with other expenses.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Payments, including non-refundable advance payments, made prior to the receipt of goods or services to be used in R&amp;D activities are deferred and recognized as an expense in the period in which the related goods are received or services are rendered. Costs to develop our technology capabilities are recorded as R&amp;D expenses unless they meet the criteria to be capitalized as internal-use software costs.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Prior to obtaining premarket regulatory approval for our diagnostic tests, we expensed pre-launch inventory costs as research and development ("R&amp;D") expenses unless future economic benefits were considered probable. Accordingly, materials, equipment, and validation costs associated with our diagnostic workflow process that did not have an alternative future use were recognized as R&amp;D expense.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In June 2026, in anticipation of FDA approval of our colorectal cancer screening test, we began capitalizing qualifying inventory costs associated with commercial production as we determined that future economic benefits associated with such costs were expected to be realized. As a result, we capitalized approximately $1.6 million of qualifying raw material costs as inventory. Costs incurred that do not qualify for capitalization, including costs for which no future economic benefit is expected, continue to be recognized as research and development expense.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We accrue and expense clinical and preclinical trial activities performed by third parties based on the actual work completed in accordance with agreements established with our service providers.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We have not historically tracked or recorded R&amp;D expenses on a program-by-program basis and, therefore, have not reported program costs. We do not allocate indirect costs to specific product development programs because these costs support multiple programs and our technology platform and, as such, are not separately classified.</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We expect our R&amp;D expenses to continue to increase as we advance our technology platform, support additional product development activities, and conduct future clinical studies.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timing and costs of our R&amp;D activities remain uncertain and may vary significantly due to the inherently unpredictable nature of product development and clinical research. We expect to continue evaluating our development priorities and allocating resources among our programs based on preclinical and clinical results, regulatory developments, and our ongoing assessment of each program's commercial potential.</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Our future development costs may vary significantly based on various factors such as timely and successful completion of preclinical studies and ongoing and future clinical trials, positive results from our current and future clinical trials, receipt of marketing approvals from applicable regulatory authorities, establishment and maintenance of arrangements with third parties, intellectual property updates and continued acceptable safety, tolerability and efficacy profile of any current and future product candidates that we may develop following approval.</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Our general and administrative (“G&amp;A”) expenses primarily consist of costs for our executive, accounting and finance, legal, human resources, marketing, and other administrative support functions. These expenses consist principally of personnel costs, including salaries, bonuses, fringe benefits, stock-based compensation expenses, and travel expenses, as well as professional services fees such as consulting, audit, tax, and legal fees, and general corporate costs and allocated overhead expenses.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We anticipate that our G&amp;A expenses will increase in future periods as we incur additional costs to support the growth of our business and expand our infrastructure, and as a result of commercialization activities if any additional diagnostic test candidates of ours receive marketing approval. We also anticipate increased expenses related to accounting, audit, legal, regulatory, and tax-related services, costs associated with maintaining compliance with the Nasdaq Global Market (“Nasdaq”) and SEC requirements, director and officer insurance premiums, investor relations and other costs associated with operating as a public company.</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Other Income (Expense), Net</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Other income (expense), net consists primarily of interest earned on our short-term investments and marketable securities and interest incurred on our convertible notes.</w:t>
      </w:r>
    </w:p>
    <w:p>
      <w:pPr>
        <w:pStyle w:val="TextBody"/>
        <w:bidi w:val="0"/>
        <w:spacing w:before="0" w:after="0"/>
        <w:jc w:val="left"/>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Comparison of the Three and Six Months Ended June 30, 2026 and 2025</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following table summarizes the results of our operations for the periods indicated (in thousands):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45" w:name="zd5b564f36deb43198a17e5d0bda20176"/>
      <w:bookmarkStart w:id="146" w:name="zd5b564f36deb43198a17e5d0bda20176"/>
      <w:bookmarkEnd w:id="146"/>
    </w:p>
    <w:tbl>
      <w:tblPr>
        <w:tblW w:w="9605" w:type="dxa"/>
        <w:jc w:val="left"/>
        <w:tblInd w:w="0" w:type="dxa"/>
        <w:tblLayout w:type="fixed"/>
        <w:tblCellMar>
          <w:top w:w="0" w:type="dxa"/>
          <w:left w:w="0" w:type="dxa"/>
          <w:bottom w:w="0" w:type="dxa"/>
          <w:right w:w="0" w:type="dxa"/>
        </w:tblCellMar>
      </w:tblPr>
      <w:tblGrid>
        <w:gridCol w:w="3350"/>
        <w:gridCol w:w="60"/>
        <w:gridCol w:w="224"/>
        <w:gridCol w:w="1213"/>
        <w:gridCol w:w="152"/>
        <w:gridCol w:w="96"/>
        <w:gridCol w:w="224"/>
        <w:gridCol w:w="1213"/>
        <w:gridCol w:w="95"/>
        <w:gridCol w:w="60"/>
        <w:gridCol w:w="181"/>
        <w:gridCol w:w="1131"/>
        <w:gridCol w:w="122"/>
        <w:gridCol w:w="77"/>
        <w:gridCol w:w="181"/>
        <w:gridCol w:w="1131"/>
        <w:gridCol w:w="95"/>
      </w:tblGrid>
      <w:tr>
        <w:trPr/>
        <w:tc>
          <w:tcPr>
            <w:tcW w:w="3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22" w:type="dxa"/>
            <w:gridSpan w:val="6"/>
            <w:tcBorders>
              <w:top w:val="single" w:sz="12" w:space="0" w:color="000000"/>
              <w:bottom w:val="single" w:sz="12" w:space="0" w:color="000000"/>
            </w:tcBorders>
            <w:tcMar>
              <w:top w:w="28" w:type="dxa"/>
              <w:bottom w:w="28" w:type="dxa"/>
            </w:tcMar>
            <w:vAlign w:val="bottom"/>
          </w:tcPr>
          <w:p>
            <w:pPr>
              <w:pStyle w:val="TableContents"/>
              <w:bidi w:val="0"/>
              <w:spacing w:before="0" w:after="0"/>
              <w:jc w:val="center"/>
              <w:rPr>
                <w:b/>
                <w:color w:val="000000"/>
              </w:rPr>
            </w:pPr>
            <w:r>
              <w:rPr>
                <w:b/>
                <w:color w:val="000000"/>
              </w:rPr>
              <w:t>Three Months Ended June 30,</w:t>
            </w:r>
          </w:p>
        </w:tc>
        <w:tc>
          <w:tcPr>
            <w:tcW w:w="95"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center"/>
              <w:rPr/>
            </w:pPr>
            <w:r>
              <w:rPr/>
              <w:t> </w:t>
            </w:r>
          </w:p>
        </w:tc>
        <w:tc>
          <w:tcPr>
            <w:tcW w:w="2823" w:type="dxa"/>
            <w:gridSpan w:val="6"/>
            <w:tcBorders>
              <w:top w:val="single" w:sz="12" w:space="0" w:color="000000"/>
              <w:bottom w:val="single" w:sz="12" w:space="0" w:color="000000"/>
            </w:tcBorders>
            <w:tcMar>
              <w:top w:w="28" w:type="dxa"/>
              <w:bottom w:w="28" w:type="dxa"/>
            </w:tcMar>
            <w:vAlign w:val="bottom"/>
          </w:tcPr>
          <w:p>
            <w:pPr>
              <w:pStyle w:val="TableContents"/>
              <w:bidi w:val="0"/>
              <w:spacing w:before="0" w:after="0"/>
              <w:jc w:val="center"/>
              <w:rPr>
                <w:b/>
                <w:color w:val="000000"/>
              </w:rPr>
            </w:pPr>
            <w:r>
              <w:rPr>
                <w:b/>
                <w:color w:val="000000"/>
              </w:rPr>
              <w:t>Six Months Ended June 30,</w:t>
            </w:r>
          </w:p>
        </w:tc>
        <w:tc>
          <w:tcPr>
            <w:tcW w:w="95" w:type="dxa"/>
            <w:tcBorders/>
            <w:vAlign w:val="bottom"/>
          </w:tcPr>
          <w:p>
            <w:pPr>
              <w:pStyle w:val="TableContents"/>
              <w:bidi w:val="0"/>
              <w:spacing w:before="0" w:after="283"/>
              <w:jc w:val="left"/>
              <w:rPr/>
            </w:pPr>
            <w:r>
              <w:rPr/>
              <w:t> </w:t>
            </w:r>
          </w:p>
        </w:tc>
      </w:tr>
      <w:tr>
        <w:trPr/>
        <w:tc>
          <w:tcPr>
            <w:tcW w:w="3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7"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152" w:type="dxa"/>
            <w:tcBorders/>
            <w:vAlign w:val="bottom"/>
          </w:tcPr>
          <w:p>
            <w:pPr>
              <w:pStyle w:val="TableContents"/>
              <w:bidi w:val="0"/>
              <w:spacing w:before="0" w:after="283"/>
              <w:jc w:val="center"/>
              <w:rPr/>
            </w:pPr>
            <w:r>
              <w:rPr/>
              <w:t> </w:t>
            </w:r>
          </w:p>
        </w:tc>
        <w:tc>
          <w:tcPr>
            <w:tcW w:w="96" w:type="dxa"/>
            <w:tcBorders/>
            <w:vAlign w:val="bottom"/>
          </w:tcPr>
          <w:p>
            <w:pPr>
              <w:pStyle w:val="TableContents"/>
              <w:bidi w:val="0"/>
              <w:spacing w:before="0" w:after="283"/>
              <w:jc w:val="center"/>
              <w:rPr/>
            </w:pPr>
            <w:r>
              <w:rPr/>
              <w:t> </w:t>
            </w:r>
          </w:p>
        </w:tc>
        <w:tc>
          <w:tcPr>
            <w:tcW w:w="1437"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95"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center"/>
              <w:rPr/>
            </w:pPr>
            <w:r>
              <w:rPr/>
              <w:t> </w:t>
            </w:r>
          </w:p>
        </w:tc>
        <w:tc>
          <w:tcPr>
            <w:tcW w:w="1312"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122" w:type="dxa"/>
            <w:tcBorders/>
            <w:vAlign w:val="bottom"/>
          </w:tcPr>
          <w:p>
            <w:pPr>
              <w:pStyle w:val="TableContents"/>
              <w:bidi w:val="0"/>
              <w:spacing w:before="0" w:after="283"/>
              <w:jc w:val="center"/>
              <w:rPr/>
            </w:pPr>
            <w:r>
              <w:rPr/>
              <w:t> </w:t>
            </w:r>
          </w:p>
        </w:tc>
        <w:tc>
          <w:tcPr>
            <w:tcW w:w="77" w:type="dxa"/>
            <w:tcBorders/>
            <w:vAlign w:val="bottom"/>
          </w:tcPr>
          <w:p>
            <w:pPr>
              <w:pStyle w:val="TableContents"/>
              <w:bidi w:val="0"/>
              <w:spacing w:before="0" w:after="283"/>
              <w:jc w:val="center"/>
              <w:rPr/>
            </w:pPr>
            <w:r>
              <w:rPr/>
              <w:t> </w:t>
            </w:r>
          </w:p>
        </w:tc>
        <w:tc>
          <w:tcPr>
            <w:tcW w:w="1312"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95" w:type="dxa"/>
            <w:tcBorders/>
            <w:vAlign w:val="bottom"/>
          </w:tcPr>
          <w:p>
            <w:pPr>
              <w:pStyle w:val="TableContents"/>
              <w:bidi w:val="0"/>
              <w:spacing w:before="0" w:after="283"/>
              <w:jc w:val="left"/>
              <w:rPr/>
            </w:pPr>
            <w:r>
              <w:rPr/>
              <w:t> </w:t>
            </w:r>
          </w:p>
        </w:tc>
      </w:tr>
      <w:tr>
        <w:trPr/>
        <w:tc>
          <w:tcPr>
            <w:tcW w:w="3350" w:type="dxa"/>
            <w:tcBorders/>
            <w:vAlign w:val="bottom"/>
          </w:tcPr>
          <w:p>
            <w:pPr>
              <w:pStyle w:val="TableContents"/>
              <w:bidi w:val="0"/>
              <w:spacing w:before="0" w:after="0"/>
              <w:ind w:left="144" w:right="0" w:hanging="144"/>
              <w:jc w:val="left"/>
              <w:rPr>
                <w:color w:val="000000"/>
              </w:rPr>
            </w:pPr>
            <w:r>
              <w:rPr>
                <w:color w:val="000000"/>
              </w:rPr>
              <w:t>Revenue:</w:t>
            </w:r>
          </w:p>
        </w:tc>
        <w:tc>
          <w:tcPr>
            <w:tcW w:w="60" w:type="dxa"/>
            <w:tcBorders/>
            <w:vAlign w:val="bottom"/>
          </w:tcPr>
          <w:p>
            <w:pPr>
              <w:pStyle w:val="TableContents"/>
              <w:bidi w:val="0"/>
              <w:spacing w:before="0" w:after="283"/>
              <w:jc w:val="left"/>
              <w:rPr/>
            </w:pPr>
            <w:r>
              <w:rPr/>
              <w:t> </w:t>
            </w:r>
          </w:p>
        </w:tc>
        <w:tc>
          <w:tcPr>
            <w:tcW w:w="1437" w:type="dxa"/>
            <w:gridSpan w:val="2"/>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437"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2" w:type="dxa"/>
            <w:gridSpan w:val="2"/>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312"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3350" w:type="dxa"/>
            <w:tcBorders/>
            <w:shd w:fill="CCEEFF" w:val="clear"/>
            <w:vAlign w:val="bottom"/>
          </w:tcPr>
          <w:p>
            <w:pPr>
              <w:pStyle w:val="TableContents"/>
              <w:bidi w:val="0"/>
              <w:spacing w:before="0" w:after="0"/>
              <w:ind w:left="324" w:right="0" w:hanging="144"/>
              <w:jc w:val="left"/>
              <w:rPr>
                <w:color w:val="000000"/>
              </w:rPr>
            </w:pPr>
            <w:r>
              <w:rPr>
                <w:color w:val="000000"/>
              </w:rPr>
              <w:t>License and collaboration revenue</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0"/>
              <w:jc w:val="left"/>
              <w:rPr>
                <w:color w:val="000000"/>
              </w:rPr>
            </w:pPr>
            <w:r>
              <w:rPr>
                <w:color w:val="000000"/>
              </w:rPr>
              <w:t>$</w:t>
            </w:r>
          </w:p>
        </w:tc>
        <w:tc>
          <w:tcPr>
            <w:tcW w:w="1213" w:type="dxa"/>
            <w:tcBorders/>
            <w:shd w:fill="CCEEFF" w:val="clear"/>
            <w:vAlign w:val="bottom"/>
          </w:tcPr>
          <w:p>
            <w:pPr>
              <w:pStyle w:val="TableContents"/>
              <w:bidi w:val="0"/>
              <w:spacing w:before="0" w:after="0"/>
              <w:jc w:val="right"/>
              <w:rPr>
                <w:color w:val="000000"/>
              </w:rPr>
            </w:pPr>
            <w:r>
              <w:rPr>
                <w:color w:val="000000"/>
              </w:rPr>
              <w:t>1,465</w:t>
            </w:r>
          </w:p>
        </w:tc>
        <w:tc>
          <w:tcPr>
            <w:tcW w:w="15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0"/>
              <w:jc w:val="left"/>
              <w:rPr>
                <w:color w:val="000000"/>
              </w:rPr>
            </w:pPr>
            <w:r>
              <w:rPr>
                <w:color w:val="000000"/>
              </w:rPr>
              <w:t>$</w:t>
            </w:r>
          </w:p>
        </w:tc>
        <w:tc>
          <w:tcPr>
            <w:tcW w:w="1213"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0"/>
              <w:jc w:val="left"/>
              <w:rPr>
                <w:color w:val="000000"/>
              </w:rPr>
            </w:pPr>
            <w:r>
              <w:rPr>
                <w:color w:val="000000"/>
              </w:rPr>
              <w:t>$</w:t>
            </w:r>
          </w:p>
        </w:tc>
        <w:tc>
          <w:tcPr>
            <w:tcW w:w="1131" w:type="dxa"/>
            <w:tcBorders/>
            <w:shd w:fill="CCEEFF" w:val="clear"/>
            <w:vAlign w:val="bottom"/>
          </w:tcPr>
          <w:p>
            <w:pPr>
              <w:pStyle w:val="TableContents"/>
              <w:bidi w:val="0"/>
              <w:spacing w:before="0" w:after="0"/>
              <w:jc w:val="right"/>
              <w:rPr>
                <w:color w:val="000000"/>
              </w:rPr>
            </w:pPr>
            <w:r>
              <w:rPr>
                <w:color w:val="000000"/>
              </w:rPr>
              <w:t>5,155</w:t>
            </w:r>
          </w:p>
        </w:tc>
        <w:tc>
          <w:tcPr>
            <w:tcW w:w="12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0"/>
              <w:jc w:val="left"/>
              <w:rPr>
                <w:color w:val="000000"/>
              </w:rPr>
            </w:pPr>
            <w:r>
              <w:rPr>
                <w:color w:val="000000"/>
              </w:rPr>
              <w:t>$</w:t>
            </w:r>
          </w:p>
        </w:tc>
        <w:tc>
          <w:tcPr>
            <w:tcW w:w="1131" w:type="dxa"/>
            <w:tcBorders/>
            <w:shd w:fill="CCEEFF" w:val="clear"/>
            <w:vAlign w:val="bottom"/>
          </w:tcPr>
          <w:p>
            <w:pPr>
              <w:pStyle w:val="TableContents"/>
              <w:bidi w:val="0"/>
              <w:spacing w:before="0" w:after="0"/>
              <w:jc w:val="right"/>
              <w:rPr>
                <w:color w:val="000000"/>
              </w:rPr>
            </w:pPr>
            <w:r>
              <w:rPr>
                <w:color w:val="000000"/>
              </w:rPr>
              <w:t>—</w:t>
            </w:r>
          </w:p>
        </w:tc>
        <w:tc>
          <w:tcPr>
            <w:tcW w:w="95" w:type="dxa"/>
            <w:tcBorders/>
            <w:shd w:fill="CCEEFF" w:val="clear"/>
            <w:vAlign w:val="bottom"/>
          </w:tcPr>
          <w:p>
            <w:pPr>
              <w:pStyle w:val="TableContents"/>
              <w:bidi w:val="0"/>
              <w:spacing w:before="0" w:after="283"/>
              <w:jc w:val="left"/>
              <w:rPr/>
            </w:pPr>
            <w:r>
              <w:rPr/>
              <w:t> </w:t>
            </w:r>
          </w:p>
        </w:tc>
      </w:tr>
      <w:tr>
        <w:trPr/>
        <w:tc>
          <w:tcPr>
            <w:tcW w:w="3350" w:type="dxa"/>
            <w:tcBorders/>
            <w:vAlign w:val="bottom"/>
          </w:tcPr>
          <w:p>
            <w:pPr>
              <w:pStyle w:val="TableContents"/>
              <w:bidi w:val="0"/>
              <w:spacing w:before="0" w:after="0"/>
              <w:ind w:left="180" w:right="0" w:hanging="0"/>
              <w:jc w:val="left"/>
              <w:rPr>
                <w:color w:val="000000"/>
              </w:rPr>
            </w:pPr>
            <w:r>
              <w:rPr>
                <w:color w:val="000000"/>
              </w:rPr>
              <w:t>Service and other revenue</w:t>
            </w:r>
          </w:p>
        </w:tc>
        <w:tc>
          <w:tcPr>
            <w:tcW w:w="60" w:type="dxa"/>
            <w:tcBorders/>
            <w:vAlign w:val="bottom"/>
          </w:tcPr>
          <w:p>
            <w:pPr>
              <w:pStyle w:val="TableContents"/>
              <w:bidi w:val="0"/>
              <w:spacing w:before="0" w:after="283"/>
              <w:jc w:val="left"/>
              <w:rPr/>
            </w:pPr>
            <w:r>
              <w:rPr/>
              <w:t> </w:t>
            </w:r>
          </w:p>
        </w:tc>
        <w:tc>
          <w:tcPr>
            <w:tcW w:w="224" w:type="dxa"/>
            <w:tcBorders>
              <w:bottom w:val="single" w:sz="12" w:space="0" w:color="000000"/>
            </w:tcBorders>
            <w:tcMar>
              <w:bottom w:w="28" w:type="dxa"/>
            </w:tcMar>
            <w:vAlign w:val="bottom"/>
          </w:tcPr>
          <w:p>
            <w:pPr>
              <w:pStyle w:val="TableContents"/>
              <w:bidi w:val="0"/>
              <w:spacing w:before="0" w:after="283"/>
              <w:jc w:val="left"/>
              <w:rPr/>
            </w:pPr>
            <w:r>
              <w:rPr/>
              <w:t> </w:t>
            </w:r>
          </w:p>
        </w:tc>
        <w:tc>
          <w:tcPr>
            <w:tcW w:w="121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809</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224" w:type="dxa"/>
            <w:tcBorders>
              <w:bottom w:val="single" w:sz="12" w:space="0" w:color="000000"/>
            </w:tcBorders>
            <w:tcMar>
              <w:bottom w:w="28" w:type="dxa"/>
            </w:tcMar>
            <w:vAlign w:val="bottom"/>
          </w:tcPr>
          <w:p>
            <w:pPr>
              <w:pStyle w:val="TableContents"/>
              <w:bidi w:val="0"/>
              <w:spacing w:before="0" w:after="283"/>
              <w:jc w:val="left"/>
              <w:rPr/>
            </w:pPr>
            <w:r>
              <w:rPr/>
              <w:t> </w:t>
            </w:r>
          </w:p>
        </w:tc>
        <w:tc>
          <w:tcPr>
            <w:tcW w:w="121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1,101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1,341</w:t>
            </w:r>
          </w:p>
        </w:tc>
        <w:tc>
          <w:tcPr>
            <w:tcW w:w="12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81"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1,495</w:t>
            </w:r>
          </w:p>
        </w:tc>
        <w:tc>
          <w:tcPr>
            <w:tcW w:w="95" w:type="dxa"/>
            <w:tcBorders/>
            <w:vAlign w:val="bottom"/>
          </w:tcPr>
          <w:p>
            <w:pPr>
              <w:pStyle w:val="TableContents"/>
              <w:bidi w:val="0"/>
              <w:spacing w:before="0" w:after="283"/>
              <w:jc w:val="left"/>
              <w:rPr/>
            </w:pPr>
            <w:r>
              <w:rPr/>
              <w:t> </w:t>
            </w:r>
          </w:p>
        </w:tc>
      </w:tr>
      <w:tr>
        <w:trPr/>
        <w:tc>
          <w:tcPr>
            <w:tcW w:w="3350" w:type="dxa"/>
            <w:tcBorders/>
            <w:shd w:fill="CCEEFF" w:val="clear"/>
            <w:vAlign w:val="bottom"/>
          </w:tcPr>
          <w:p>
            <w:pPr>
              <w:pStyle w:val="TableContents"/>
              <w:bidi w:val="0"/>
              <w:spacing w:before="0" w:after="0"/>
              <w:ind w:left="504" w:right="0" w:hanging="144"/>
              <w:jc w:val="left"/>
              <w:rPr>
                <w:color w:val="000000"/>
              </w:rPr>
            </w:pPr>
            <w:r>
              <w:rPr>
                <w:color w:val="000000"/>
              </w:rPr>
              <w:t>Total revenue</w:t>
            </w:r>
          </w:p>
        </w:tc>
        <w:tc>
          <w:tcPr>
            <w:tcW w:w="60" w:type="dxa"/>
            <w:tcBorders/>
            <w:shd w:fill="CCEEFF" w:val="clear"/>
            <w:vAlign w:val="bottom"/>
          </w:tcPr>
          <w:p>
            <w:pPr>
              <w:pStyle w:val="TableContents"/>
              <w:bidi w:val="0"/>
              <w:spacing w:before="0" w:after="283"/>
              <w:jc w:val="left"/>
              <w:rPr/>
            </w:pPr>
            <w:r>
              <w:rPr/>
              <w:t> </w:t>
            </w:r>
          </w:p>
        </w:tc>
        <w:tc>
          <w:tcPr>
            <w:tcW w:w="224"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13"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2,274</w:t>
            </w:r>
          </w:p>
        </w:tc>
        <w:tc>
          <w:tcPr>
            <w:tcW w:w="15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224"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13"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1,101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31"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6,496</w:t>
            </w:r>
          </w:p>
        </w:tc>
        <w:tc>
          <w:tcPr>
            <w:tcW w:w="12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81"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31"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1,495</w:t>
            </w:r>
          </w:p>
        </w:tc>
        <w:tc>
          <w:tcPr>
            <w:tcW w:w="95" w:type="dxa"/>
            <w:tcBorders/>
            <w:shd w:fill="CCEEFF" w:val="clear"/>
            <w:vAlign w:val="bottom"/>
          </w:tcPr>
          <w:p>
            <w:pPr>
              <w:pStyle w:val="TableContents"/>
              <w:bidi w:val="0"/>
              <w:spacing w:before="0" w:after="283"/>
              <w:jc w:val="left"/>
              <w:rPr/>
            </w:pPr>
            <w:r>
              <w:rPr/>
              <w:t> </w:t>
            </w:r>
          </w:p>
        </w:tc>
      </w:tr>
      <w:tr>
        <w:trPr/>
        <w:tc>
          <w:tcPr>
            <w:tcW w:w="3350" w:type="dxa"/>
            <w:tcBorders/>
            <w:vAlign w:val="bottom"/>
          </w:tcPr>
          <w:p>
            <w:pPr>
              <w:pStyle w:val="TableContents"/>
              <w:bidi w:val="0"/>
              <w:spacing w:before="0" w:after="0"/>
              <w:ind w:left="144" w:right="0" w:hanging="144"/>
              <w:jc w:val="left"/>
              <w:rPr>
                <w:color w:val="000000"/>
              </w:rPr>
            </w:pPr>
            <w:r>
              <w:rPr>
                <w:color w:val="000000"/>
              </w:rPr>
              <w:t>Operating costs and expenses:</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213"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213"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 </w:t>
            </w:r>
          </w:p>
        </w:tc>
        <w:tc>
          <w:tcPr>
            <w:tcW w:w="12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3350" w:type="dxa"/>
            <w:tcBorders/>
            <w:shd w:fill="CCEEFF" w:val="clear"/>
            <w:vAlign w:val="bottom"/>
          </w:tcPr>
          <w:p>
            <w:pPr>
              <w:pStyle w:val="TableContents"/>
              <w:bidi w:val="0"/>
              <w:spacing w:before="0" w:after="0"/>
              <w:ind w:left="324" w:right="0" w:hanging="144"/>
              <w:jc w:val="left"/>
              <w:rPr>
                <w:color w:val="000000"/>
              </w:rPr>
            </w:pPr>
            <w:r>
              <w:rPr>
                <w:color w:val="000000"/>
              </w:rPr>
              <w:t>Cost of services</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0"/>
              <w:jc w:val="left"/>
              <w:rPr>
                <w:color w:val="000000"/>
              </w:rPr>
            </w:pPr>
            <w:r>
              <w:rPr>
                <w:color w:val="000000"/>
              </w:rPr>
              <w:t>$</w:t>
            </w:r>
          </w:p>
        </w:tc>
        <w:tc>
          <w:tcPr>
            <w:tcW w:w="1213" w:type="dxa"/>
            <w:tcBorders/>
            <w:shd w:fill="CCEEFF" w:val="clear"/>
            <w:vAlign w:val="bottom"/>
          </w:tcPr>
          <w:p>
            <w:pPr>
              <w:pStyle w:val="TableContents"/>
              <w:bidi w:val="0"/>
              <w:spacing w:before="0" w:after="0"/>
              <w:jc w:val="right"/>
              <w:rPr>
                <w:color w:val="000000"/>
              </w:rPr>
            </w:pPr>
            <w:r>
              <w:rPr>
                <w:color w:val="000000"/>
              </w:rPr>
              <w:t>497</w:t>
            </w:r>
          </w:p>
        </w:tc>
        <w:tc>
          <w:tcPr>
            <w:tcW w:w="15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213" w:type="dxa"/>
            <w:tcBorders/>
            <w:shd w:fill="CCEEFF" w:val="clear"/>
            <w:vAlign w:val="bottom"/>
          </w:tcPr>
          <w:p>
            <w:pPr>
              <w:pStyle w:val="TableContents"/>
              <w:bidi w:val="0"/>
              <w:spacing w:before="0" w:after="0"/>
              <w:jc w:val="right"/>
              <w:rPr>
                <w:color w:val="000000"/>
              </w:rPr>
            </w:pPr>
            <w:r>
              <w:rPr>
                <w:color w:val="000000"/>
              </w:rPr>
              <w:t>509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0"/>
              <w:jc w:val="right"/>
              <w:rPr>
                <w:color w:val="000000"/>
              </w:rPr>
            </w:pPr>
            <w:r>
              <w:rPr>
                <w:color w:val="000000"/>
              </w:rPr>
              <w:t>937</w:t>
            </w:r>
          </w:p>
        </w:tc>
        <w:tc>
          <w:tcPr>
            <w:tcW w:w="12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0"/>
              <w:jc w:val="right"/>
              <w:rPr>
                <w:color w:val="000000"/>
              </w:rPr>
            </w:pPr>
            <w:r>
              <w:rPr>
                <w:color w:val="000000"/>
              </w:rPr>
              <w:t>884</w:t>
            </w:r>
          </w:p>
        </w:tc>
        <w:tc>
          <w:tcPr>
            <w:tcW w:w="95" w:type="dxa"/>
            <w:tcBorders/>
            <w:shd w:fill="CCEEFF" w:val="clear"/>
            <w:vAlign w:val="bottom"/>
          </w:tcPr>
          <w:p>
            <w:pPr>
              <w:pStyle w:val="TableContents"/>
              <w:bidi w:val="0"/>
              <w:spacing w:before="0" w:after="283"/>
              <w:jc w:val="left"/>
              <w:rPr/>
            </w:pPr>
            <w:r>
              <w:rPr/>
              <w:t> </w:t>
            </w:r>
          </w:p>
        </w:tc>
      </w:tr>
      <w:tr>
        <w:trPr/>
        <w:tc>
          <w:tcPr>
            <w:tcW w:w="3350" w:type="dxa"/>
            <w:tcBorders/>
            <w:vAlign w:val="bottom"/>
          </w:tcPr>
          <w:p>
            <w:pPr>
              <w:pStyle w:val="TableContents"/>
              <w:bidi w:val="0"/>
              <w:spacing w:before="0" w:after="0"/>
              <w:ind w:left="324" w:right="0" w:hanging="144"/>
              <w:jc w:val="left"/>
              <w:rPr>
                <w:color w:val="000000"/>
              </w:rPr>
            </w:pPr>
            <w:r>
              <w:rPr>
                <w:color w:val="000000"/>
              </w:rPr>
              <w:t>Research and development</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213" w:type="dxa"/>
            <w:tcBorders/>
            <w:vAlign w:val="bottom"/>
          </w:tcPr>
          <w:p>
            <w:pPr>
              <w:pStyle w:val="TableContents"/>
              <w:bidi w:val="0"/>
              <w:spacing w:before="0" w:after="0"/>
              <w:jc w:val="right"/>
              <w:rPr>
                <w:color w:val="000000"/>
              </w:rPr>
            </w:pPr>
            <w:r>
              <w:rPr>
                <w:color w:val="000000"/>
              </w:rPr>
              <w:t>54,273</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213" w:type="dxa"/>
            <w:tcBorders/>
            <w:vAlign w:val="bottom"/>
          </w:tcPr>
          <w:p>
            <w:pPr>
              <w:pStyle w:val="TableContents"/>
              <w:bidi w:val="0"/>
              <w:spacing w:before="0" w:after="0"/>
              <w:jc w:val="right"/>
              <w:rPr>
                <w:color w:val="000000"/>
              </w:rPr>
            </w:pPr>
            <w:r>
              <w:rPr>
                <w:color w:val="000000"/>
              </w:rPr>
              <w:t>48,936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0"/>
              <w:jc w:val="right"/>
              <w:rPr>
                <w:color w:val="000000"/>
              </w:rPr>
            </w:pPr>
            <w:r>
              <w:rPr>
                <w:color w:val="000000"/>
              </w:rPr>
              <w:t>106,387</w:t>
            </w:r>
          </w:p>
        </w:tc>
        <w:tc>
          <w:tcPr>
            <w:tcW w:w="12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0"/>
              <w:jc w:val="right"/>
              <w:rPr>
                <w:color w:val="000000"/>
              </w:rPr>
            </w:pPr>
            <w:r>
              <w:rPr>
                <w:color w:val="000000"/>
              </w:rPr>
              <w:t>98,653</w:t>
            </w:r>
          </w:p>
        </w:tc>
        <w:tc>
          <w:tcPr>
            <w:tcW w:w="95" w:type="dxa"/>
            <w:tcBorders/>
            <w:vAlign w:val="bottom"/>
          </w:tcPr>
          <w:p>
            <w:pPr>
              <w:pStyle w:val="TableContents"/>
              <w:bidi w:val="0"/>
              <w:spacing w:before="0" w:after="283"/>
              <w:jc w:val="left"/>
              <w:rPr/>
            </w:pPr>
            <w:r>
              <w:rPr/>
              <w:t> </w:t>
            </w:r>
          </w:p>
        </w:tc>
      </w:tr>
      <w:tr>
        <w:trPr/>
        <w:tc>
          <w:tcPr>
            <w:tcW w:w="3350" w:type="dxa"/>
            <w:tcBorders/>
            <w:shd w:fill="CCEEFF" w:val="clear"/>
            <w:vAlign w:val="bottom"/>
          </w:tcPr>
          <w:p>
            <w:pPr>
              <w:pStyle w:val="TableContents"/>
              <w:bidi w:val="0"/>
              <w:spacing w:before="0" w:after="0"/>
              <w:ind w:left="324" w:right="0" w:hanging="144"/>
              <w:jc w:val="left"/>
              <w:rPr>
                <w:color w:val="000000"/>
              </w:rPr>
            </w:pPr>
            <w:r>
              <w:rPr>
                <w:color w:val="000000"/>
              </w:rPr>
              <w:t>General and administrative</w:t>
            </w:r>
          </w:p>
        </w:tc>
        <w:tc>
          <w:tcPr>
            <w:tcW w:w="60" w:type="dxa"/>
            <w:tcBorders/>
            <w:shd w:fill="CCEEFF" w:val="clear"/>
            <w:vAlign w:val="bottom"/>
          </w:tcPr>
          <w:p>
            <w:pPr>
              <w:pStyle w:val="TableContents"/>
              <w:bidi w:val="0"/>
              <w:spacing w:before="0" w:after="283"/>
              <w:jc w:val="left"/>
              <w:rPr/>
            </w:pPr>
            <w:r>
              <w:rPr/>
              <w:t> </w:t>
            </w:r>
          </w:p>
        </w:tc>
        <w:tc>
          <w:tcPr>
            <w:tcW w:w="22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1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12,711</w:t>
            </w:r>
          </w:p>
        </w:tc>
        <w:tc>
          <w:tcPr>
            <w:tcW w:w="15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22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1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11,845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26,624</w:t>
            </w:r>
          </w:p>
        </w:tc>
        <w:tc>
          <w:tcPr>
            <w:tcW w:w="12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22,220</w:t>
            </w:r>
          </w:p>
        </w:tc>
        <w:tc>
          <w:tcPr>
            <w:tcW w:w="95" w:type="dxa"/>
            <w:tcBorders/>
            <w:shd w:fill="CCEEFF" w:val="clear"/>
            <w:vAlign w:val="bottom"/>
          </w:tcPr>
          <w:p>
            <w:pPr>
              <w:pStyle w:val="TableContents"/>
              <w:bidi w:val="0"/>
              <w:spacing w:before="0" w:after="283"/>
              <w:jc w:val="left"/>
              <w:rPr/>
            </w:pPr>
            <w:r>
              <w:rPr/>
              <w:t> </w:t>
            </w:r>
          </w:p>
        </w:tc>
      </w:tr>
      <w:tr>
        <w:trPr/>
        <w:tc>
          <w:tcPr>
            <w:tcW w:w="3350" w:type="dxa"/>
            <w:tcBorders/>
            <w:vAlign w:val="bottom"/>
          </w:tcPr>
          <w:p>
            <w:pPr>
              <w:pStyle w:val="TableContents"/>
              <w:bidi w:val="0"/>
              <w:spacing w:before="0" w:after="0"/>
              <w:ind w:left="504" w:right="0" w:hanging="144"/>
              <w:jc w:val="left"/>
              <w:rPr>
                <w:color w:val="000000"/>
              </w:rPr>
            </w:pPr>
            <w:r>
              <w:rPr>
                <w:color w:val="000000"/>
              </w:rPr>
              <w:t>Total operating costs and expenses</w:t>
            </w:r>
          </w:p>
        </w:tc>
        <w:tc>
          <w:tcPr>
            <w:tcW w:w="60" w:type="dxa"/>
            <w:tcBorders/>
            <w:vAlign w:val="bottom"/>
          </w:tcPr>
          <w:p>
            <w:pPr>
              <w:pStyle w:val="TableContents"/>
              <w:bidi w:val="0"/>
              <w:spacing w:before="0" w:after="283"/>
              <w:jc w:val="left"/>
              <w:rPr/>
            </w:pPr>
            <w:r>
              <w:rPr/>
              <w:t> </w:t>
            </w:r>
          </w:p>
        </w:tc>
        <w:tc>
          <w:tcPr>
            <w:tcW w:w="224" w:type="dxa"/>
            <w:tcBorders>
              <w:bottom w:val="single" w:sz="12" w:space="0" w:color="000000"/>
            </w:tcBorders>
            <w:tcMar>
              <w:bottom w:w="28" w:type="dxa"/>
            </w:tcMar>
            <w:vAlign w:val="bottom"/>
          </w:tcPr>
          <w:p>
            <w:pPr>
              <w:pStyle w:val="TableContents"/>
              <w:bidi w:val="0"/>
              <w:spacing w:before="0" w:after="283"/>
              <w:jc w:val="left"/>
              <w:rPr/>
            </w:pPr>
            <w:r>
              <w:rPr/>
              <w:t> </w:t>
            </w:r>
          </w:p>
        </w:tc>
        <w:tc>
          <w:tcPr>
            <w:tcW w:w="121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67,481</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224" w:type="dxa"/>
            <w:tcBorders>
              <w:bottom w:val="single" w:sz="12" w:space="0" w:color="000000"/>
            </w:tcBorders>
            <w:tcMar>
              <w:bottom w:w="28" w:type="dxa"/>
            </w:tcMar>
            <w:vAlign w:val="bottom"/>
          </w:tcPr>
          <w:p>
            <w:pPr>
              <w:pStyle w:val="TableContents"/>
              <w:bidi w:val="0"/>
              <w:spacing w:before="0" w:after="283"/>
              <w:jc w:val="left"/>
              <w:rPr/>
            </w:pPr>
            <w:r>
              <w:rPr/>
              <w:t> </w:t>
            </w:r>
          </w:p>
        </w:tc>
        <w:tc>
          <w:tcPr>
            <w:tcW w:w="121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61,290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133,948</w:t>
            </w:r>
          </w:p>
        </w:tc>
        <w:tc>
          <w:tcPr>
            <w:tcW w:w="12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81"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121,757</w:t>
            </w:r>
          </w:p>
        </w:tc>
        <w:tc>
          <w:tcPr>
            <w:tcW w:w="95" w:type="dxa"/>
            <w:tcBorders/>
            <w:vAlign w:val="bottom"/>
          </w:tcPr>
          <w:p>
            <w:pPr>
              <w:pStyle w:val="TableContents"/>
              <w:bidi w:val="0"/>
              <w:spacing w:before="0" w:after="283"/>
              <w:jc w:val="left"/>
              <w:rPr/>
            </w:pPr>
            <w:r>
              <w:rPr/>
              <w:t> </w:t>
            </w:r>
          </w:p>
        </w:tc>
      </w:tr>
      <w:tr>
        <w:trPr/>
        <w:tc>
          <w:tcPr>
            <w:tcW w:w="3350" w:type="dxa"/>
            <w:tcBorders/>
            <w:shd w:fill="CCEEFF" w:val="clear"/>
            <w:vAlign w:val="bottom"/>
          </w:tcPr>
          <w:p>
            <w:pPr>
              <w:pStyle w:val="TableContents"/>
              <w:bidi w:val="0"/>
              <w:spacing w:before="0" w:after="0"/>
              <w:ind w:left="144" w:right="0" w:hanging="144"/>
              <w:jc w:val="left"/>
              <w:rPr>
                <w:color w:val="000000"/>
              </w:rPr>
            </w:pPr>
            <w:r>
              <w:rPr>
                <w:color w:val="000000"/>
              </w:rPr>
              <w:t>Loss from operations</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213" w:type="dxa"/>
            <w:tcBorders/>
            <w:shd w:fill="CCEEFF" w:val="clear"/>
            <w:vAlign w:val="bottom"/>
          </w:tcPr>
          <w:p>
            <w:pPr>
              <w:pStyle w:val="TableContents"/>
              <w:bidi w:val="0"/>
              <w:spacing w:before="0" w:after="0"/>
              <w:jc w:val="right"/>
              <w:rPr>
                <w:color w:val="000000"/>
              </w:rPr>
            </w:pPr>
            <w:r>
              <w:rPr>
                <w:color w:val="000000"/>
              </w:rPr>
              <w:t>(65,207</w:t>
            </w:r>
          </w:p>
        </w:tc>
        <w:tc>
          <w:tcPr>
            <w:tcW w:w="152" w:type="dxa"/>
            <w:tcBorders/>
            <w:shd w:fill="CCEEFF" w:val="clear"/>
            <w:vAlign w:val="bottom"/>
          </w:tcPr>
          <w:p>
            <w:pPr>
              <w:pStyle w:val="TableContents"/>
              <w:bidi w:val="0"/>
              <w:spacing w:before="0" w:after="0"/>
              <w:jc w:val="left"/>
              <w:rPr>
                <w:color w:val="000000"/>
              </w:rPr>
            </w:pPr>
            <w:r>
              <w:rPr>
                <w:color w:val="000000"/>
              </w:rPr>
              <w:t>)</w:t>
            </w:r>
          </w:p>
        </w:tc>
        <w:tc>
          <w:tcPr>
            <w:tcW w:w="96"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213" w:type="dxa"/>
            <w:tcBorders/>
            <w:shd w:fill="CCEEFF" w:val="clear"/>
            <w:vAlign w:val="bottom"/>
          </w:tcPr>
          <w:p>
            <w:pPr>
              <w:pStyle w:val="TableContents"/>
              <w:bidi w:val="0"/>
              <w:spacing w:before="0" w:after="0"/>
              <w:jc w:val="right"/>
              <w:rPr>
                <w:color w:val="000000"/>
              </w:rPr>
            </w:pPr>
            <w:r>
              <w:rPr>
                <w:color w:val="000000"/>
              </w:rPr>
              <w:t>(60,189</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0"/>
              <w:jc w:val="right"/>
              <w:rPr>
                <w:color w:val="000000"/>
              </w:rPr>
            </w:pPr>
            <w:r>
              <w:rPr>
                <w:color w:val="000000"/>
              </w:rPr>
              <w:t>(127,452</w:t>
            </w:r>
          </w:p>
        </w:tc>
        <w:tc>
          <w:tcPr>
            <w:tcW w:w="122" w:type="dxa"/>
            <w:tcBorders/>
            <w:shd w:fill="CCEEFF" w:val="clear"/>
            <w:vAlign w:val="bottom"/>
          </w:tcPr>
          <w:p>
            <w:pPr>
              <w:pStyle w:val="TableContents"/>
              <w:bidi w:val="0"/>
              <w:spacing w:before="0" w:after="0"/>
              <w:jc w:val="left"/>
              <w:rPr>
                <w:color w:val="000000"/>
              </w:rPr>
            </w:pPr>
            <w:r>
              <w:rPr>
                <w:color w:val="000000"/>
              </w:rPr>
              <w:t>)</w:t>
            </w:r>
          </w:p>
        </w:tc>
        <w:tc>
          <w:tcPr>
            <w:tcW w:w="77"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0"/>
              <w:jc w:val="right"/>
              <w:rPr>
                <w:color w:val="000000"/>
              </w:rPr>
            </w:pPr>
            <w:r>
              <w:rPr>
                <w:color w:val="000000"/>
              </w:rPr>
              <w:t>(120,262</w:t>
            </w:r>
          </w:p>
        </w:tc>
        <w:tc>
          <w:tcPr>
            <w:tcW w:w="95" w:type="dxa"/>
            <w:tcBorders/>
            <w:shd w:fill="CCEEFF" w:val="clear"/>
            <w:vAlign w:val="bottom"/>
          </w:tcPr>
          <w:p>
            <w:pPr>
              <w:pStyle w:val="TableContents"/>
              <w:bidi w:val="0"/>
              <w:spacing w:before="0" w:after="0"/>
              <w:jc w:val="left"/>
              <w:rPr>
                <w:color w:val="000000"/>
              </w:rPr>
            </w:pPr>
            <w:r>
              <w:rPr>
                <w:color w:val="000000"/>
              </w:rPr>
              <w:t>)</w:t>
            </w:r>
          </w:p>
        </w:tc>
      </w:tr>
      <w:tr>
        <w:trPr/>
        <w:tc>
          <w:tcPr>
            <w:tcW w:w="3350" w:type="dxa"/>
            <w:tcBorders/>
            <w:vAlign w:val="bottom"/>
          </w:tcPr>
          <w:p>
            <w:pPr>
              <w:pStyle w:val="TableContents"/>
              <w:bidi w:val="0"/>
              <w:spacing w:before="0" w:after="0"/>
              <w:ind w:left="144" w:right="0" w:hanging="144"/>
              <w:jc w:val="left"/>
              <w:rPr>
                <w:color w:val="000000"/>
              </w:rPr>
            </w:pPr>
            <w:r>
              <w:rPr>
                <w:color w:val="000000"/>
              </w:rPr>
              <w:t>Other income (expense), net:</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213"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213"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 </w:t>
            </w:r>
          </w:p>
        </w:tc>
        <w:tc>
          <w:tcPr>
            <w:tcW w:w="12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3350" w:type="dxa"/>
            <w:tcBorders/>
            <w:shd w:fill="CCEEFF" w:val="clear"/>
            <w:vAlign w:val="bottom"/>
          </w:tcPr>
          <w:p>
            <w:pPr>
              <w:pStyle w:val="TableContents"/>
              <w:bidi w:val="0"/>
              <w:spacing w:before="0" w:after="0"/>
              <w:ind w:left="324" w:right="0" w:hanging="144"/>
              <w:jc w:val="left"/>
              <w:rPr>
                <w:color w:val="000000"/>
              </w:rPr>
            </w:pPr>
            <w:r>
              <w:rPr>
                <w:color w:val="000000"/>
              </w:rPr>
              <w:t>Interest and investment income, net</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0"/>
              <w:jc w:val="left"/>
              <w:rPr>
                <w:color w:val="000000"/>
              </w:rPr>
            </w:pPr>
            <w:r>
              <w:rPr>
                <w:color w:val="000000"/>
              </w:rPr>
              <w:t>$</w:t>
            </w:r>
          </w:p>
        </w:tc>
        <w:tc>
          <w:tcPr>
            <w:tcW w:w="1213" w:type="dxa"/>
            <w:tcBorders/>
            <w:shd w:fill="CCEEFF" w:val="clear"/>
            <w:vAlign w:val="bottom"/>
          </w:tcPr>
          <w:p>
            <w:pPr>
              <w:pStyle w:val="TableContents"/>
              <w:bidi w:val="0"/>
              <w:spacing w:before="0" w:after="0"/>
              <w:jc w:val="right"/>
              <w:rPr>
                <w:color w:val="000000"/>
              </w:rPr>
            </w:pPr>
            <w:r>
              <w:rPr>
                <w:color w:val="000000"/>
              </w:rPr>
              <w:t>1,038</w:t>
            </w:r>
          </w:p>
        </w:tc>
        <w:tc>
          <w:tcPr>
            <w:tcW w:w="15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213" w:type="dxa"/>
            <w:tcBorders/>
            <w:shd w:fill="CCEEFF" w:val="clear"/>
            <w:vAlign w:val="bottom"/>
          </w:tcPr>
          <w:p>
            <w:pPr>
              <w:pStyle w:val="TableContents"/>
              <w:bidi w:val="0"/>
              <w:spacing w:before="0" w:after="0"/>
              <w:jc w:val="right"/>
              <w:rPr>
                <w:color w:val="000000"/>
              </w:rPr>
            </w:pPr>
            <w:r>
              <w:rPr>
                <w:color w:val="000000"/>
              </w:rPr>
              <w:t>1,514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0"/>
              <w:jc w:val="right"/>
              <w:rPr>
                <w:color w:val="000000"/>
              </w:rPr>
            </w:pPr>
            <w:r>
              <w:rPr>
                <w:color w:val="000000"/>
              </w:rPr>
              <w:t>2,729</w:t>
            </w:r>
          </w:p>
        </w:tc>
        <w:tc>
          <w:tcPr>
            <w:tcW w:w="12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0"/>
              <w:jc w:val="right"/>
              <w:rPr>
                <w:color w:val="000000"/>
              </w:rPr>
            </w:pPr>
            <w:r>
              <w:rPr>
                <w:color w:val="000000"/>
              </w:rPr>
              <w:t>3,717</w:t>
            </w:r>
          </w:p>
        </w:tc>
        <w:tc>
          <w:tcPr>
            <w:tcW w:w="95" w:type="dxa"/>
            <w:tcBorders/>
            <w:shd w:fill="CCEEFF" w:val="clear"/>
            <w:vAlign w:val="bottom"/>
          </w:tcPr>
          <w:p>
            <w:pPr>
              <w:pStyle w:val="TableContents"/>
              <w:bidi w:val="0"/>
              <w:spacing w:before="0" w:after="283"/>
              <w:jc w:val="left"/>
              <w:rPr/>
            </w:pPr>
            <w:r>
              <w:rPr/>
              <w:t> </w:t>
            </w:r>
          </w:p>
        </w:tc>
      </w:tr>
      <w:tr>
        <w:trPr/>
        <w:tc>
          <w:tcPr>
            <w:tcW w:w="3350" w:type="dxa"/>
            <w:tcBorders/>
            <w:vAlign w:val="bottom"/>
          </w:tcPr>
          <w:p>
            <w:pPr>
              <w:pStyle w:val="TableContents"/>
              <w:bidi w:val="0"/>
              <w:spacing w:before="0" w:after="0"/>
              <w:ind w:left="324" w:right="0" w:hanging="144"/>
              <w:jc w:val="left"/>
              <w:rPr>
                <w:color w:val="000000"/>
              </w:rPr>
            </w:pPr>
            <w:r>
              <w:rPr>
                <w:color w:val="000000"/>
              </w:rPr>
              <w:t>Interest expense</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213" w:type="dxa"/>
            <w:tcBorders/>
            <w:vAlign w:val="bottom"/>
          </w:tcPr>
          <w:p>
            <w:pPr>
              <w:pStyle w:val="TableContents"/>
              <w:bidi w:val="0"/>
              <w:spacing w:before="0" w:after="0"/>
              <w:jc w:val="right"/>
              <w:rPr>
                <w:color w:val="000000"/>
              </w:rPr>
            </w:pPr>
            <w:r>
              <w:rPr>
                <w:color w:val="000000"/>
              </w:rPr>
              <w:t>(4,859</w:t>
            </w:r>
          </w:p>
        </w:tc>
        <w:tc>
          <w:tcPr>
            <w:tcW w:w="152" w:type="dxa"/>
            <w:tcBorders/>
            <w:vAlign w:val="bottom"/>
          </w:tcPr>
          <w:p>
            <w:pPr>
              <w:pStyle w:val="TableContents"/>
              <w:bidi w:val="0"/>
              <w:spacing w:before="0" w:after="0"/>
              <w:jc w:val="left"/>
              <w:rPr>
                <w:color w:val="000000"/>
              </w:rPr>
            </w:pPr>
            <w:r>
              <w:rPr>
                <w:color w:val="000000"/>
              </w:rPr>
              <w:t>)</w:t>
            </w:r>
          </w:p>
        </w:tc>
        <w:tc>
          <w:tcPr>
            <w:tcW w:w="96"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213" w:type="dxa"/>
            <w:tcBorders/>
            <w:vAlign w:val="bottom"/>
          </w:tcPr>
          <w:p>
            <w:pPr>
              <w:pStyle w:val="TableContents"/>
              <w:bidi w:val="0"/>
              <w:spacing w:before="0" w:after="0"/>
              <w:jc w:val="right"/>
              <w:rPr>
                <w:color w:val="000000"/>
              </w:rPr>
            </w:pPr>
            <w:r>
              <w:rPr>
                <w:color w:val="000000"/>
              </w:rPr>
              <w:t>(1</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0"/>
              <w:jc w:val="right"/>
              <w:rPr>
                <w:color w:val="000000"/>
              </w:rPr>
            </w:pPr>
            <w:r>
              <w:rPr>
                <w:color w:val="000000"/>
              </w:rPr>
              <w:t>(7,863</w:t>
            </w:r>
          </w:p>
        </w:tc>
        <w:tc>
          <w:tcPr>
            <w:tcW w:w="122" w:type="dxa"/>
            <w:tcBorders/>
            <w:vAlign w:val="bottom"/>
          </w:tcPr>
          <w:p>
            <w:pPr>
              <w:pStyle w:val="TableContents"/>
              <w:bidi w:val="0"/>
              <w:spacing w:before="0" w:after="0"/>
              <w:jc w:val="left"/>
              <w:rPr>
                <w:color w:val="000000"/>
              </w:rPr>
            </w:pPr>
            <w:r>
              <w:rPr>
                <w:color w:val="000000"/>
              </w:rPr>
              <w:t>)</w:t>
            </w:r>
          </w:p>
        </w:tc>
        <w:tc>
          <w:tcPr>
            <w:tcW w:w="77"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0"/>
              <w:jc w:val="right"/>
              <w:rPr>
                <w:color w:val="000000"/>
              </w:rPr>
            </w:pPr>
            <w:r>
              <w:rPr>
                <w:color w:val="000000"/>
              </w:rPr>
              <w:t>(3</w:t>
            </w:r>
          </w:p>
        </w:tc>
        <w:tc>
          <w:tcPr>
            <w:tcW w:w="95" w:type="dxa"/>
            <w:tcBorders/>
            <w:vAlign w:val="bottom"/>
          </w:tcPr>
          <w:p>
            <w:pPr>
              <w:pStyle w:val="TableContents"/>
              <w:bidi w:val="0"/>
              <w:spacing w:before="0" w:after="0"/>
              <w:jc w:val="left"/>
              <w:rPr>
                <w:color w:val="000000"/>
              </w:rPr>
            </w:pPr>
            <w:r>
              <w:rPr>
                <w:color w:val="000000"/>
              </w:rPr>
              <w:t>)</w:t>
            </w:r>
          </w:p>
        </w:tc>
      </w:tr>
      <w:tr>
        <w:trPr/>
        <w:tc>
          <w:tcPr>
            <w:tcW w:w="3350" w:type="dxa"/>
            <w:tcBorders/>
            <w:shd w:fill="CCEEFF" w:val="clear"/>
            <w:vAlign w:val="bottom"/>
          </w:tcPr>
          <w:p>
            <w:pPr>
              <w:pStyle w:val="TableContents"/>
              <w:bidi w:val="0"/>
              <w:spacing w:before="0" w:after="0"/>
              <w:ind w:left="324" w:right="0" w:hanging="144"/>
              <w:jc w:val="left"/>
              <w:rPr>
                <w:color w:val="000000"/>
              </w:rPr>
            </w:pPr>
            <w:r>
              <w:rPr>
                <w:color w:val="000000"/>
              </w:rPr>
              <w:t>Other (expense), net</w:t>
            </w:r>
          </w:p>
        </w:tc>
        <w:tc>
          <w:tcPr>
            <w:tcW w:w="60" w:type="dxa"/>
            <w:tcBorders/>
            <w:shd w:fill="CCEEFF" w:val="clear"/>
            <w:vAlign w:val="bottom"/>
          </w:tcPr>
          <w:p>
            <w:pPr>
              <w:pStyle w:val="TableContents"/>
              <w:bidi w:val="0"/>
              <w:spacing w:before="0" w:after="283"/>
              <w:jc w:val="left"/>
              <w:rPr/>
            </w:pPr>
            <w:r>
              <w:rPr/>
              <w:t> </w:t>
            </w:r>
          </w:p>
        </w:tc>
        <w:tc>
          <w:tcPr>
            <w:tcW w:w="22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1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w:t>
            </w:r>
          </w:p>
        </w:tc>
        <w:tc>
          <w:tcPr>
            <w:tcW w:w="152" w:type="dxa"/>
            <w:tcBorders/>
            <w:shd w:fill="CCEEFF" w:val="clear"/>
            <w:vAlign w:val="bottom"/>
          </w:tcPr>
          <w:p>
            <w:pPr>
              <w:pStyle w:val="TableContents"/>
              <w:bidi w:val="0"/>
              <w:spacing w:before="0" w:after="0"/>
              <w:jc w:val="left"/>
              <w:rPr>
                <w:color w:val="000000"/>
              </w:rPr>
            </w:pPr>
            <w:r>
              <w:rPr>
                <w:color w:val="000000"/>
              </w:rPr>
              <w:t>)</w:t>
            </w:r>
          </w:p>
        </w:tc>
        <w:tc>
          <w:tcPr>
            <w:tcW w:w="96" w:type="dxa"/>
            <w:tcBorders/>
            <w:shd w:fill="CCEEFF" w:val="clear"/>
            <w:vAlign w:val="bottom"/>
          </w:tcPr>
          <w:p>
            <w:pPr>
              <w:pStyle w:val="TableContents"/>
              <w:bidi w:val="0"/>
              <w:spacing w:before="0" w:after="283"/>
              <w:jc w:val="left"/>
              <w:rPr/>
            </w:pPr>
            <w:r>
              <w:rPr/>
              <w:t> </w:t>
            </w:r>
          </w:p>
        </w:tc>
        <w:tc>
          <w:tcPr>
            <w:tcW w:w="22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1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(55</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w:t>
            </w:r>
          </w:p>
        </w:tc>
        <w:tc>
          <w:tcPr>
            <w:tcW w:w="122" w:type="dxa"/>
            <w:tcBorders/>
            <w:shd w:fill="CCEEFF" w:val="clear"/>
            <w:vAlign w:val="bottom"/>
          </w:tcPr>
          <w:p>
            <w:pPr>
              <w:pStyle w:val="TableContents"/>
              <w:bidi w:val="0"/>
              <w:spacing w:before="0" w:after="0"/>
              <w:jc w:val="left"/>
              <w:rPr>
                <w:color w:val="000000"/>
              </w:rPr>
            </w:pPr>
            <w:r>
              <w:rPr>
                <w:color w:val="000000"/>
              </w:rPr>
              <w:t>)</w:t>
            </w:r>
          </w:p>
        </w:tc>
        <w:tc>
          <w:tcPr>
            <w:tcW w:w="77" w:type="dxa"/>
            <w:tcBorders/>
            <w:shd w:fill="CCEEFF" w:val="clear"/>
            <w:vAlign w:val="bottom"/>
          </w:tcPr>
          <w:p>
            <w:pPr>
              <w:pStyle w:val="TableContents"/>
              <w:bidi w:val="0"/>
              <w:spacing w:before="0" w:after="283"/>
              <w:jc w:val="lef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3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(57</w:t>
            </w:r>
          </w:p>
        </w:tc>
        <w:tc>
          <w:tcPr>
            <w:tcW w:w="95" w:type="dxa"/>
            <w:tcBorders/>
            <w:shd w:fill="CCEEFF" w:val="clear"/>
            <w:vAlign w:val="bottom"/>
          </w:tcPr>
          <w:p>
            <w:pPr>
              <w:pStyle w:val="TableContents"/>
              <w:bidi w:val="0"/>
              <w:spacing w:before="0" w:after="0"/>
              <w:jc w:val="left"/>
              <w:rPr>
                <w:color w:val="000000"/>
              </w:rPr>
            </w:pPr>
            <w:r>
              <w:rPr>
                <w:color w:val="000000"/>
              </w:rPr>
              <w:t>)</w:t>
            </w:r>
          </w:p>
        </w:tc>
      </w:tr>
      <w:tr>
        <w:trPr/>
        <w:tc>
          <w:tcPr>
            <w:tcW w:w="3350" w:type="dxa"/>
            <w:tcBorders/>
            <w:vAlign w:val="bottom"/>
          </w:tcPr>
          <w:p>
            <w:pPr>
              <w:pStyle w:val="TableContents"/>
              <w:bidi w:val="0"/>
              <w:spacing w:before="0" w:after="0"/>
              <w:ind w:left="144" w:right="0" w:hanging="144"/>
              <w:jc w:val="left"/>
              <w:rPr>
                <w:color w:val="000000"/>
              </w:rPr>
            </w:pPr>
            <w:r>
              <w:rPr>
                <w:color w:val="000000"/>
              </w:rPr>
              <w:t>Net loss</w:t>
            </w:r>
          </w:p>
        </w:tc>
        <w:tc>
          <w:tcPr>
            <w:tcW w:w="60" w:type="dxa"/>
            <w:tcBorders/>
            <w:vAlign w:val="bottom"/>
          </w:tcPr>
          <w:p>
            <w:pPr>
              <w:pStyle w:val="TableContents"/>
              <w:bidi w:val="0"/>
              <w:spacing w:before="0" w:after="283"/>
              <w:jc w:val="left"/>
              <w:rPr/>
            </w:pPr>
            <w:r>
              <w:rPr/>
              <w:t> </w:t>
            </w:r>
          </w:p>
        </w:tc>
        <w:tc>
          <w:tcPr>
            <w:tcW w:w="224"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213"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(69,029</w:t>
            </w:r>
          </w:p>
        </w:tc>
        <w:tc>
          <w:tcPr>
            <w:tcW w:w="152" w:type="dxa"/>
            <w:tcBorders/>
            <w:vAlign w:val="bottom"/>
          </w:tcPr>
          <w:p>
            <w:pPr>
              <w:pStyle w:val="TableContents"/>
              <w:bidi w:val="0"/>
              <w:spacing w:before="0" w:after="0"/>
              <w:jc w:val="left"/>
              <w:rPr>
                <w:color w:val="000000"/>
              </w:rPr>
            </w:pPr>
            <w:r>
              <w:rPr>
                <w:color w:val="000000"/>
              </w:rPr>
              <w:t>)</w:t>
            </w:r>
          </w:p>
        </w:tc>
        <w:tc>
          <w:tcPr>
            <w:tcW w:w="96" w:type="dxa"/>
            <w:tcBorders/>
            <w:vAlign w:val="bottom"/>
          </w:tcPr>
          <w:p>
            <w:pPr>
              <w:pStyle w:val="TableContents"/>
              <w:bidi w:val="0"/>
              <w:spacing w:before="0" w:after="283"/>
              <w:jc w:val="left"/>
              <w:rPr/>
            </w:pPr>
            <w:r>
              <w:rPr/>
              <w:t> </w:t>
            </w:r>
          </w:p>
        </w:tc>
        <w:tc>
          <w:tcPr>
            <w:tcW w:w="224"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213"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(58,731</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81"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131"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(132,588</w:t>
            </w:r>
          </w:p>
        </w:tc>
        <w:tc>
          <w:tcPr>
            <w:tcW w:w="122" w:type="dxa"/>
            <w:tcBorders/>
            <w:vAlign w:val="bottom"/>
          </w:tcPr>
          <w:p>
            <w:pPr>
              <w:pStyle w:val="TableContents"/>
              <w:bidi w:val="0"/>
              <w:spacing w:before="0" w:after="0"/>
              <w:jc w:val="left"/>
              <w:rPr>
                <w:color w:val="000000"/>
              </w:rPr>
            </w:pPr>
            <w:r>
              <w:rPr>
                <w:color w:val="000000"/>
              </w:rPr>
              <w:t>)</w:t>
            </w:r>
          </w:p>
        </w:tc>
        <w:tc>
          <w:tcPr>
            <w:tcW w:w="77" w:type="dxa"/>
            <w:tcBorders/>
            <w:vAlign w:val="bottom"/>
          </w:tcPr>
          <w:p>
            <w:pPr>
              <w:pStyle w:val="TableContents"/>
              <w:bidi w:val="0"/>
              <w:spacing w:before="0" w:after="283"/>
              <w:jc w:val="left"/>
              <w:rPr/>
            </w:pPr>
            <w:r>
              <w:rPr/>
              <w:t> </w:t>
            </w:r>
          </w:p>
        </w:tc>
        <w:tc>
          <w:tcPr>
            <w:tcW w:w="181"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131"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(116,605</w:t>
            </w:r>
          </w:p>
        </w:tc>
        <w:tc>
          <w:tcPr>
            <w:tcW w:w="95" w:type="dxa"/>
            <w:tcBorders/>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bookmarkStart w:id="147" w:name="Section28"/>
      <w:bookmarkStart w:id="148" w:name="Section28"/>
      <w:bookmarkEnd w:id="148"/>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following table summarizes our revenues for the following periods (in thousands):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49" w:name="z405622eda04d4d92848035a2daa7f748"/>
      <w:bookmarkStart w:id="150" w:name="z405622eda04d4d92848035a2daa7f748"/>
      <w:bookmarkEnd w:id="150"/>
    </w:p>
    <w:tbl>
      <w:tblPr>
        <w:tblW w:w="9512" w:type="dxa"/>
        <w:jc w:val="left"/>
        <w:tblInd w:w="0" w:type="dxa"/>
        <w:tblLayout w:type="fixed"/>
        <w:tblCellMar>
          <w:top w:w="0" w:type="dxa"/>
          <w:left w:w="0" w:type="dxa"/>
          <w:bottom w:w="0" w:type="dxa"/>
          <w:right w:w="0" w:type="dxa"/>
        </w:tblCellMar>
      </w:tblPr>
      <w:tblGrid>
        <w:gridCol w:w="3260"/>
        <w:gridCol w:w="60"/>
        <w:gridCol w:w="186"/>
        <w:gridCol w:w="747"/>
        <w:gridCol w:w="80"/>
        <w:gridCol w:w="80"/>
        <w:gridCol w:w="186"/>
        <w:gridCol w:w="747"/>
        <w:gridCol w:w="80"/>
        <w:gridCol w:w="80"/>
        <w:gridCol w:w="186"/>
        <w:gridCol w:w="747"/>
        <w:gridCol w:w="95"/>
        <w:gridCol w:w="60"/>
        <w:gridCol w:w="169"/>
        <w:gridCol w:w="676"/>
        <w:gridCol w:w="72"/>
        <w:gridCol w:w="72"/>
        <w:gridCol w:w="169"/>
        <w:gridCol w:w="676"/>
        <w:gridCol w:w="72"/>
        <w:gridCol w:w="72"/>
        <w:gridCol w:w="169"/>
        <w:gridCol w:w="676"/>
        <w:gridCol w:w="95"/>
      </w:tblGrid>
      <w:tr>
        <w:trPr/>
        <w:tc>
          <w:tcPr>
            <w:tcW w:w="3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19" w:type="dxa"/>
            <w:gridSpan w:val="10"/>
            <w:tcBorders>
              <w:top w:val="single" w:sz="12" w:space="0" w:color="000000"/>
              <w:bottom w:val="single" w:sz="12" w:space="0" w:color="000000"/>
            </w:tcBorders>
            <w:tcMar>
              <w:top w:w="28" w:type="dxa"/>
              <w:bottom w:w="28" w:type="dxa"/>
            </w:tcMar>
            <w:vAlign w:val="bottom"/>
          </w:tcPr>
          <w:p>
            <w:pPr>
              <w:pStyle w:val="TableContents"/>
              <w:bidi w:val="0"/>
              <w:spacing w:before="0" w:after="0"/>
              <w:jc w:val="center"/>
              <w:rPr>
                <w:b/>
                <w:color w:val="000000"/>
              </w:rPr>
            </w:pPr>
            <w:r>
              <w:rPr>
                <w:b/>
                <w:color w:val="000000"/>
              </w:rPr>
              <w:t>Three Months Ended June 30,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23" w:type="dxa"/>
            <w:gridSpan w:val="10"/>
            <w:tcBorders>
              <w:top w:val="single" w:sz="12" w:space="0" w:color="000000"/>
              <w:bottom w:val="single" w:sz="12" w:space="0" w:color="000000"/>
            </w:tcBorders>
            <w:tcMar>
              <w:top w:w="28" w:type="dxa"/>
              <w:bottom w:w="28" w:type="dxa"/>
            </w:tcMar>
            <w:vAlign w:val="bottom"/>
          </w:tcPr>
          <w:p>
            <w:pPr>
              <w:pStyle w:val="TableContents"/>
              <w:bidi w:val="0"/>
              <w:spacing w:before="0" w:after="0"/>
              <w:jc w:val="center"/>
              <w:rPr>
                <w:b/>
                <w:color w:val="000000"/>
              </w:rPr>
            </w:pPr>
            <w:r>
              <w:rPr>
                <w:b/>
                <w:color w:val="000000"/>
              </w:rPr>
              <w:t>Six Months Ended June 30,</w:t>
            </w:r>
          </w:p>
        </w:tc>
        <w:tc>
          <w:tcPr>
            <w:tcW w:w="95" w:type="dxa"/>
            <w:tcBorders/>
            <w:vAlign w:val="bottom"/>
          </w:tcPr>
          <w:p>
            <w:pPr>
              <w:pStyle w:val="TableContents"/>
              <w:bidi w:val="0"/>
              <w:spacing w:before="0" w:after="283"/>
              <w:jc w:val="left"/>
              <w:rPr/>
            </w:pPr>
            <w:r>
              <w:rPr/>
              <w:t> </w:t>
            </w:r>
          </w:p>
        </w:tc>
      </w:tr>
      <w:tr>
        <w:trPr/>
        <w:tc>
          <w:tcPr>
            <w:tcW w:w="3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3"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8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933"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8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933"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Change</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Change</w:t>
            </w:r>
          </w:p>
        </w:tc>
        <w:tc>
          <w:tcPr>
            <w:tcW w:w="95" w:type="dxa"/>
            <w:tcBorders/>
            <w:vAlign w:val="bottom"/>
          </w:tcPr>
          <w:p>
            <w:pPr>
              <w:pStyle w:val="TableContents"/>
              <w:bidi w:val="0"/>
              <w:spacing w:before="0" w:after="283"/>
              <w:jc w:val="left"/>
              <w:rPr/>
            </w:pPr>
            <w:r>
              <w:rPr/>
              <w:t> </w:t>
            </w:r>
          </w:p>
        </w:tc>
      </w:tr>
      <w:tr>
        <w:trPr/>
        <w:tc>
          <w:tcPr>
            <w:tcW w:w="3260" w:type="dxa"/>
            <w:tcBorders/>
            <w:vAlign w:val="bottom"/>
          </w:tcPr>
          <w:p>
            <w:pPr>
              <w:pStyle w:val="TableContents"/>
              <w:bidi w:val="0"/>
              <w:spacing w:before="0" w:after="0"/>
              <w:jc w:val="left"/>
              <w:rPr>
                <w:color w:val="000000"/>
              </w:rPr>
            </w:pPr>
            <w:r>
              <w:rPr>
                <w:color w:val="000000"/>
              </w:rPr>
              <w:t>Revenue:</w:t>
            </w:r>
          </w:p>
        </w:tc>
        <w:tc>
          <w:tcPr>
            <w:tcW w:w="60" w:type="dxa"/>
            <w:tcBorders/>
            <w:vAlign w:val="bottom"/>
          </w:tcPr>
          <w:p>
            <w:pPr>
              <w:pStyle w:val="TableContents"/>
              <w:bidi w:val="0"/>
              <w:spacing w:before="0" w:after="283"/>
              <w:jc w:val="left"/>
              <w:rPr/>
            </w:pPr>
            <w:r>
              <w:rPr/>
              <w:t> </w:t>
            </w:r>
          </w:p>
        </w:tc>
        <w:tc>
          <w:tcPr>
            <w:tcW w:w="933"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933"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933"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gridSpan w:val="2"/>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45" w:type="dxa"/>
            <w:gridSpan w:val="2"/>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4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3260" w:type="dxa"/>
            <w:tcBorders/>
            <w:shd w:fill="CCEEFF" w:val="clear"/>
            <w:vAlign w:val="bottom"/>
          </w:tcPr>
          <w:p>
            <w:pPr>
              <w:pStyle w:val="TableContents"/>
              <w:bidi w:val="0"/>
              <w:spacing w:before="0" w:after="0"/>
              <w:ind w:left="180" w:right="0" w:hanging="0"/>
              <w:jc w:val="left"/>
              <w:rPr>
                <w:color w:val="000000"/>
              </w:rPr>
            </w:pPr>
            <w:r>
              <w:rPr>
                <w:color w:val="000000"/>
              </w:rPr>
              <w:t>License and collaboration revenue</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0"/>
              <w:jc w:val="left"/>
              <w:rPr>
                <w:color w:val="000000"/>
              </w:rPr>
            </w:pPr>
            <w:r>
              <w:rPr>
                <w:color w:val="000000"/>
              </w:rPr>
              <w:t>$</w:t>
            </w:r>
          </w:p>
        </w:tc>
        <w:tc>
          <w:tcPr>
            <w:tcW w:w="747" w:type="dxa"/>
            <w:tcBorders/>
            <w:shd w:fill="CCEEFF" w:val="clear"/>
            <w:vAlign w:val="bottom"/>
          </w:tcPr>
          <w:p>
            <w:pPr>
              <w:pStyle w:val="TableContents"/>
              <w:bidi w:val="0"/>
              <w:spacing w:before="0" w:after="0"/>
              <w:jc w:val="right"/>
              <w:rPr>
                <w:color w:val="000000"/>
              </w:rPr>
            </w:pPr>
            <w:r>
              <w:rPr>
                <w:color w:val="000000"/>
              </w:rPr>
              <w:t>1,465</w:t>
            </w:r>
          </w:p>
        </w:tc>
        <w:tc>
          <w:tcPr>
            <w:tcW w:w="8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0"/>
              <w:jc w:val="left"/>
              <w:rPr>
                <w:color w:val="000000"/>
              </w:rPr>
            </w:pPr>
            <w:r>
              <w:rPr>
                <w:color w:val="000000"/>
              </w:rPr>
              <w:t>$</w:t>
            </w:r>
          </w:p>
        </w:tc>
        <w:tc>
          <w:tcPr>
            <w:tcW w:w="747"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0"/>
              <w:jc w:val="left"/>
              <w:rPr>
                <w:color w:val="000000"/>
              </w:rPr>
            </w:pPr>
            <w:r>
              <w:rPr>
                <w:color w:val="000000"/>
              </w:rPr>
              <w:t>$</w:t>
            </w:r>
          </w:p>
        </w:tc>
        <w:tc>
          <w:tcPr>
            <w:tcW w:w="747" w:type="dxa"/>
            <w:tcBorders/>
            <w:shd w:fill="CCEEFF" w:val="clear"/>
            <w:vAlign w:val="bottom"/>
          </w:tcPr>
          <w:p>
            <w:pPr>
              <w:pStyle w:val="TableContents"/>
              <w:bidi w:val="0"/>
              <w:spacing w:before="0" w:after="0"/>
              <w:jc w:val="right"/>
              <w:rPr>
                <w:color w:val="000000"/>
              </w:rPr>
            </w:pPr>
            <w:r>
              <w:rPr>
                <w:color w:val="000000"/>
              </w:rPr>
              <w:t>1,465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0"/>
              <w:jc w:val="left"/>
              <w:rPr>
                <w:color w:val="000000"/>
              </w:rPr>
            </w:pPr>
            <w:r>
              <w:rPr>
                <w:color w:val="000000"/>
              </w:rPr>
              <w:t>$</w:t>
            </w:r>
          </w:p>
        </w:tc>
        <w:tc>
          <w:tcPr>
            <w:tcW w:w="676" w:type="dxa"/>
            <w:tcBorders/>
            <w:shd w:fill="CCEEFF" w:val="clear"/>
            <w:vAlign w:val="bottom"/>
          </w:tcPr>
          <w:p>
            <w:pPr>
              <w:pStyle w:val="TableContents"/>
              <w:bidi w:val="0"/>
              <w:spacing w:before="0" w:after="0"/>
              <w:jc w:val="right"/>
              <w:rPr>
                <w:color w:val="000000"/>
              </w:rPr>
            </w:pPr>
            <w:r>
              <w:rPr>
                <w:color w:val="000000"/>
              </w:rPr>
              <w:t>5,155</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0"/>
              <w:jc w:val="left"/>
              <w:rPr>
                <w:color w:val="000000"/>
              </w:rPr>
            </w:pPr>
            <w:r>
              <w:rPr>
                <w:color w:val="000000"/>
              </w:rPr>
              <w:t>$</w:t>
            </w:r>
          </w:p>
        </w:tc>
        <w:tc>
          <w:tcPr>
            <w:tcW w:w="676" w:type="dxa"/>
            <w:tcBorders/>
            <w:shd w:fill="CCEEFF" w:val="clear"/>
            <w:vAlign w:val="bottom"/>
          </w:tcPr>
          <w:p>
            <w:pPr>
              <w:pStyle w:val="TableContents"/>
              <w:bidi w:val="0"/>
              <w:spacing w:before="0" w:after="0"/>
              <w:jc w:val="right"/>
              <w:rPr>
                <w:color w:val="000000"/>
              </w:rPr>
            </w:pPr>
            <w:r>
              <w:rPr>
                <w:color w:val="000000"/>
              </w:rPr>
              <w:t>—</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0"/>
              <w:jc w:val="left"/>
              <w:rPr>
                <w:color w:val="000000"/>
              </w:rPr>
            </w:pPr>
            <w:r>
              <w:rPr>
                <w:color w:val="000000"/>
              </w:rPr>
              <w:t>$</w:t>
            </w:r>
          </w:p>
        </w:tc>
        <w:tc>
          <w:tcPr>
            <w:tcW w:w="676" w:type="dxa"/>
            <w:tcBorders/>
            <w:shd w:fill="CCEEFF" w:val="clear"/>
            <w:vAlign w:val="bottom"/>
          </w:tcPr>
          <w:p>
            <w:pPr>
              <w:pStyle w:val="TableContents"/>
              <w:bidi w:val="0"/>
              <w:spacing w:before="0" w:after="0"/>
              <w:jc w:val="right"/>
              <w:rPr>
                <w:color w:val="000000"/>
              </w:rPr>
            </w:pPr>
            <w:r>
              <w:rPr>
                <w:color w:val="000000"/>
              </w:rPr>
              <w:t>5,155</w:t>
            </w:r>
          </w:p>
        </w:tc>
        <w:tc>
          <w:tcPr>
            <w:tcW w:w="95" w:type="dxa"/>
            <w:tcBorders/>
            <w:shd w:fill="CCEEFF" w:val="clear"/>
            <w:vAlign w:val="bottom"/>
          </w:tcPr>
          <w:p>
            <w:pPr>
              <w:pStyle w:val="TableContents"/>
              <w:bidi w:val="0"/>
              <w:spacing w:before="0" w:after="283"/>
              <w:jc w:val="left"/>
              <w:rPr/>
            </w:pPr>
            <w:r>
              <w:rPr/>
              <w:t> </w:t>
            </w:r>
          </w:p>
        </w:tc>
      </w:tr>
      <w:tr>
        <w:trPr/>
        <w:tc>
          <w:tcPr>
            <w:tcW w:w="3260" w:type="dxa"/>
            <w:tcBorders/>
            <w:vAlign w:val="bottom"/>
          </w:tcPr>
          <w:p>
            <w:pPr>
              <w:pStyle w:val="TableContents"/>
              <w:bidi w:val="0"/>
              <w:spacing w:before="0" w:after="0"/>
              <w:ind w:left="180" w:right="0" w:hanging="0"/>
              <w:jc w:val="left"/>
              <w:rPr>
                <w:color w:val="000000"/>
              </w:rPr>
            </w:pPr>
            <w:r>
              <w:rPr>
                <w:color w:val="000000"/>
              </w:rPr>
              <w:t>Service and other revenue</w:t>
            </w:r>
          </w:p>
        </w:tc>
        <w:tc>
          <w:tcPr>
            <w:tcW w:w="60" w:type="dxa"/>
            <w:tcBorders/>
            <w:vAlign w:val="bottom"/>
          </w:tcPr>
          <w:p>
            <w:pPr>
              <w:pStyle w:val="TableContents"/>
              <w:bidi w:val="0"/>
              <w:spacing w:before="0" w:after="283"/>
              <w:jc w:val="left"/>
              <w:rPr/>
            </w:pPr>
            <w:r>
              <w:rPr/>
              <w:t> </w:t>
            </w:r>
          </w:p>
        </w:tc>
        <w:tc>
          <w:tcPr>
            <w:tcW w:w="186" w:type="dxa"/>
            <w:tcBorders>
              <w:bottom w:val="single" w:sz="12" w:space="0" w:color="000000"/>
            </w:tcBorders>
            <w:tcMar>
              <w:bottom w:w="28" w:type="dxa"/>
            </w:tcMar>
            <w:vAlign w:val="bottom"/>
          </w:tcPr>
          <w:p>
            <w:pPr>
              <w:pStyle w:val="TableContents"/>
              <w:bidi w:val="0"/>
              <w:spacing w:before="0" w:after="283"/>
              <w:jc w:val="left"/>
              <w:rPr/>
            </w:pPr>
            <w:r>
              <w:rPr/>
              <w:t> </w:t>
            </w:r>
          </w:p>
        </w:tc>
        <w:tc>
          <w:tcPr>
            <w:tcW w:w="74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809</w:t>
            </w:r>
          </w:p>
        </w:tc>
        <w:tc>
          <w:tcPr>
            <w:tcW w:w="8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86" w:type="dxa"/>
            <w:tcBorders>
              <w:bottom w:val="single" w:sz="12" w:space="0" w:color="000000"/>
            </w:tcBorders>
            <w:tcMar>
              <w:bottom w:w="28" w:type="dxa"/>
            </w:tcMar>
            <w:vAlign w:val="bottom"/>
          </w:tcPr>
          <w:p>
            <w:pPr>
              <w:pStyle w:val="TableContents"/>
              <w:bidi w:val="0"/>
              <w:spacing w:before="0" w:after="283"/>
              <w:jc w:val="left"/>
              <w:rPr/>
            </w:pPr>
            <w:r>
              <w:rPr/>
              <w:t> </w:t>
            </w:r>
          </w:p>
        </w:tc>
        <w:tc>
          <w:tcPr>
            <w:tcW w:w="74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1,101</w:t>
            </w:r>
          </w:p>
        </w:tc>
        <w:tc>
          <w:tcPr>
            <w:tcW w:w="8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86" w:type="dxa"/>
            <w:tcBorders>
              <w:bottom w:val="single" w:sz="12" w:space="0" w:color="000000"/>
            </w:tcBorders>
            <w:tcMar>
              <w:bottom w:w="28" w:type="dxa"/>
            </w:tcMar>
            <w:vAlign w:val="bottom"/>
          </w:tcPr>
          <w:p>
            <w:pPr>
              <w:pStyle w:val="TableContents"/>
              <w:bidi w:val="0"/>
              <w:spacing w:before="0" w:after="283"/>
              <w:jc w:val="left"/>
              <w:rPr/>
            </w:pPr>
            <w:r>
              <w:rPr/>
              <w:t> </w:t>
            </w:r>
          </w:p>
        </w:tc>
        <w:tc>
          <w:tcPr>
            <w:tcW w:w="74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(292</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69" w:type="dxa"/>
            <w:tcBorders>
              <w:bottom w:val="single" w:sz="12" w:space="0" w:color="000000"/>
            </w:tcBorders>
            <w:tcMar>
              <w:bottom w:w="28" w:type="dxa"/>
            </w:tcMar>
            <w:vAlign w:val="bottom"/>
          </w:tcPr>
          <w:p>
            <w:pPr>
              <w:pStyle w:val="TableContents"/>
              <w:bidi w:val="0"/>
              <w:spacing w:before="0" w:after="283"/>
              <w:jc w:val="left"/>
              <w:rPr/>
            </w:pPr>
            <w:r>
              <w:rPr/>
              <w:t> </w:t>
            </w:r>
          </w:p>
        </w:tc>
        <w:tc>
          <w:tcPr>
            <w:tcW w:w="67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1,341</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9" w:type="dxa"/>
            <w:tcBorders>
              <w:bottom w:val="single" w:sz="12" w:space="0" w:color="000000"/>
            </w:tcBorders>
            <w:tcMar>
              <w:bottom w:w="28" w:type="dxa"/>
            </w:tcMar>
            <w:vAlign w:val="bottom"/>
          </w:tcPr>
          <w:p>
            <w:pPr>
              <w:pStyle w:val="TableContents"/>
              <w:bidi w:val="0"/>
              <w:spacing w:before="0" w:after="283"/>
              <w:jc w:val="left"/>
              <w:rPr/>
            </w:pPr>
            <w:r>
              <w:rPr/>
              <w:t> </w:t>
            </w:r>
          </w:p>
        </w:tc>
        <w:tc>
          <w:tcPr>
            <w:tcW w:w="67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1,495</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9" w:type="dxa"/>
            <w:tcBorders>
              <w:bottom w:val="single" w:sz="12" w:space="0" w:color="000000"/>
            </w:tcBorders>
            <w:tcMar>
              <w:bottom w:w="28" w:type="dxa"/>
            </w:tcMar>
            <w:vAlign w:val="bottom"/>
          </w:tcPr>
          <w:p>
            <w:pPr>
              <w:pStyle w:val="TableContents"/>
              <w:bidi w:val="0"/>
              <w:spacing w:before="0" w:after="283"/>
              <w:jc w:val="left"/>
              <w:rPr/>
            </w:pPr>
            <w:r>
              <w:rPr/>
              <w:t> </w:t>
            </w:r>
          </w:p>
        </w:tc>
        <w:tc>
          <w:tcPr>
            <w:tcW w:w="67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(154</w:t>
            </w:r>
          </w:p>
        </w:tc>
        <w:tc>
          <w:tcPr>
            <w:tcW w:w="95" w:type="dxa"/>
            <w:tcBorders/>
            <w:vAlign w:val="bottom"/>
          </w:tcPr>
          <w:p>
            <w:pPr>
              <w:pStyle w:val="TableContents"/>
              <w:bidi w:val="0"/>
              <w:spacing w:before="0" w:after="0"/>
              <w:jc w:val="left"/>
              <w:rPr>
                <w:color w:val="000000"/>
              </w:rPr>
            </w:pPr>
            <w:r>
              <w:rPr>
                <w:color w:val="000000"/>
              </w:rPr>
              <w:t>)</w:t>
            </w:r>
          </w:p>
        </w:tc>
      </w:tr>
      <w:tr>
        <w:trPr/>
        <w:tc>
          <w:tcPr>
            <w:tcW w:w="3260" w:type="dxa"/>
            <w:tcBorders/>
            <w:shd w:fill="CCEEFF" w:val="clear"/>
            <w:vAlign w:val="bottom"/>
          </w:tcPr>
          <w:p>
            <w:pPr>
              <w:pStyle w:val="TableContents"/>
              <w:bidi w:val="0"/>
              <w:spacing w:before="0" w:after="0"/>
              <w:ind w:left="360" w:right="0" w:hanging="0"/>
              <w:jc w:val="left"/>
              <w:rPr>
                <w:color w:val="000000"/>
              </w:rPr>
            </w:pPr>
            <w:r>
              <w:rPr>
                <w:color w:val="000000"/>
              </w:rPr>
              <w:t>Total revenue</w:t>
            </w:r>
          </w:p>
        </w:tc>
        <w:tc>
          <w:tcPr>
            <w:tcW w:w="60" w:type="dxa"/>
            <w:tcBorders/>
            <w:shd w:fill="CCEEFF" w:val="clear"/>
            <w:vAlign w:val="bottom"/>
          </w:tcPr>
          <w:p>
            <w:pPr>
              <w:pStyle w:val="TableContents"/>
              <w:bidi w:val="0"/>
              <w:spacing w:before="0" w:after="283"/>
              <w:jc w:val="left"/>
              <w:rPr/>
            </w:pPr>
            <w:r>
              <w:rPr/>
              <w:t> </w:t>
            </w:r>
          </w:p>
        </w:tc>
        <w:tc>
          <w:tcPr>
            <w:tcW w:w="186"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47"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2,274</w:t>
            </w:r>
          </w:p>
        </w:tc>
        <w:tc>
          <w:tcPr>
            <w:tcW w:w="8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86"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47"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1,101</w:t>
            </w:r>
          </w:p>
        </w:tc>
        <w:tc>
          <w:tcPr>
            <w:tcW w:w="8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86"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47"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1,173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76"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6,496</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69"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76"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1,495</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69"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76"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5,001</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Revenue increased by $1.2 million to $2.3 million for the three months ended June 30, 2026, compared to $1.1 million for the three months ended June 30, 2025. The increase was primarily driven by $1.5 million of license and collaboration revenue recognized under the Exact Sciences License and Collaboration Agreement related to initial technology transfer activities and research and development services performed during the three months ended June 30, 2026.</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Revenue for the three months ended June 30, 2026 also included $0.3 million from the sale and distribution of EarlyCDT Lung test kits in the United Kingdom and other international markets, $0.4 million of royalties on EarlyCDT Lung tests performed, and $0.1 million from the sale of EarlyCDT Lung test plates.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Revenue increased by $5.0 million, to $6.5 million for the six months ended June 30, 2026, from $1.5 million for the six months ended June 30, 2025. The increase was primarily attributable to $5.2 million of license and collaboration revenue recognized under the Exact Sciences License and Collaboration Agreement related to initial technology transfer activities and for research and development services performed during the six months ended June 30, 2026.</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Revenue for the six months ended June 30, 2026 also included $0.4 million from the sale and distribution of EarlyCDT Lung test kits in the United Kingdom and other international markets, $0.8 million of royalties on EarlyCDT Lung tests performed, and $0.2 million from the sale of EarlyCDT Lung test plates.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Cost of services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following table summarizes our cost of services for the following periods (in thousands):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51" w:name="z5fd58b4ff76f4bdeb4381f04f48f2822"/>
      <w:bookmarkStart w:id="152" w:name="z5fd58b4ff76f4bdeb4381f04f48f2822"/>
      <w:bookmarkEnd w:id="152"/>
    </w:p>
    <w:tbl>
      <w:tblPr>
        <w:tblW w:w="7875" w:type="dxa"/>
        <w:jc w:val="left"/>
        <w:tblInd w:w="0" w:type="dxa"/>
        <w:tblLayout w:type="fixed"/>
        <w:tblCellMar>
          <w:top w:w="0" w:type="dxa"/>
          <w:left w:w="0" w:type="dxa"/>
          <w:bottom w:w="0" w:type="dxa"/>
          <w:right w:w="0" w:type="dxa"/>
        </w:tblCellMar>
      </w:tblPr>
      <w:tblGrid>
        <w:gridCol w:w="1520"/>
        <w:gridCol w:w="60"/>
        <w:gridCol w:w="249"/>
        <w:gridCol w:w="676"/>
        <w:gridCol w:w="106"/>
        <w:gridCol w:w="106"/>
        <w:gridCol w:w="249"/>
        <w:gridCol w:w="676"/>
        <w:gridCol w:w="106"/>
        <w:gridCol w:w="106"/>
        <w:gridCol w:w="249"/>
        <w:gridCol w:w="596"/>
        <w:gridCol w:w="95"/>
        <w:gridCol w:w="60"/>
        <w:gridCol w:w="235"/>
        <w:gridCol w:w="638"/>
        <w:gridCol w:w="100"/>
        <w:gridCol w:w="100"/>
        <w:gridCol w:w="235"/>
        <w:gridCol w:w="638"/>
        <w:gridCol w:w="100"/>
        <w:gridCol w:w="100"/>
        <w:gridCol w:w="285"/>
        <w:gridCol w:w="530"/>
        <w:gridCol w:w="60"/>
      </w:tblGrid>
      <w:tr>
        <w:trPr/>
        <w:tc>
          <w:tcPr>
            <w:tcW w:w="15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19" w:type="dxa"/>
            <w:gridSpan w:val="10"/>
            <w:tcBorders>
              <w:top w:val="single" w:sz="12" w:space="0" w:color="000000"/>
              <w:bottom w:val="single" w:sz="12" w:space="0" w:color="000000"/>
            </w:tcBorders>
            <w:tcMar>
              <w:top w:w="28" w:type="dxa"/>
              <w:bottom w:w="28" w:type="dxa"/>
            </w:tcMar>
            <w:vAlign w:val="bottom"/>
          </w:tcPr>
          <w:p>
            <w:pPr>
              <w:pStyle w:val="TableContents"/>
              <w:bidi w:val="0"/>
              <w:spacing w:before="0" w:after="0"/>
              <w:jc w:val="center"/>
              <w:rPr>
                <w:b/>
                <w:color w:val="000000"/>
              </w:rPr>
            </w:pPr>
            <w:r>
              <w:rPr>
                <w:b/>
                <w:color w:val="000000"/>
              </w:rPr>
              <w:t>Three Months Ended June 30,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61" w:type="dxa"/>
            <w:gridSpan w:val="10"/>
            <w:tcBorders>
              <w:top w:val="single" w:sz="12" w:space="0" w:color="000000"/>
              <w:bottom w:val="single" w:sz="12" w:space="0" w:color="000000"/>
            </w:tcBorders>
            <w:tcMar>
              <w:top w:w="28" w:type="dxa"/>
              <w:bottom w:w="28" w:type="dxa"/>
            </w:tcMar>
            <w:vAlign w:val="bottom"/>
          </w:tcPr>
          <w:p>
            <w:pPr>
              <w:pStyle w:val="TableContents"/>
              <w:bidi w:val="0"/>
              <w:spacing w:before="0" w:after="0"/>
              <w:jc w:val="center"/>
              <w:rPr>
                <w:b/>
                <w:color w:val="000000"/>
              </w:rPr>
            </w:pPr>
            <w:r>
              <w:rPr>
                <w:b/>
                <w:color w:val="000000"/>
              </w:rPr>
              <w:t>Six Months Ended June 30,</w:t>
            </w:r>
          </w:p>
        </w:tc>
        <w:tc>
          <w:tcPr>
            <w:tcW w:w="60" w:type="dxa"/>
            <w:tcBorders/>
            <w:vAlign w:val="bottom"/>
          </w:tcPr>
          <w:p>
            <w:pPr>
              <w:pStyle w:val="TableContents"/>
              <w:bidi w:val="0"/>
              <w:spacing w:before="0" w:after="283"/>
              <w:jc w:val="left"/>
              <w:rPr/>
            </w:pPr>
            <w:r>
              <w:rPr/>
              <w:t> </w:t>
            </w:r>
          </w:p>
        </w:tc>
      </w:tr>
      <w:tr>
        <w:trPr/>
        <w:tc>
          <w:tcPr>
            <w:tcW w:w="15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5" w:type="dxa"/>
            <w:gridSpan w:val="2"/>
            <w:tcBorders/>
            <w:vAlign w:val="bottom"/>
          </w:tcPr>
          <w:p>
            <w:pPr>
              <w:pStyle w:val="TableContents"/>
              <w:bidi w:val="0"/>
              <w:spacing w:before="0" w:after="0"/>
              <w:jc w:val="center"/>
              <w:rPr>
                <w:b/>
                <w:color w:val="000000"/>
              </w:rPr>
            </w:pPr>
            <w:r>
              <w:rPr>
                <w:b/>
                <w:color w:val="000000"/>
              </w:rPr>
              <w:t>2026</w:t>
            </w:r>
          </w:p>
        </w:tc>
        <w:tc>
          <w:tcPr>
            <w:tcW w:w="106"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25" w:type="dxa"/>
            <w:gridSpan w:val="2"/>
            <w:tcBorders/>
            <w:vAlign w:val="bottom"/>
          </w:tcPr>
          <w:p>
            <w:pPr>
              <w:pStyle w:val="TableContents"/>
              <w:bidi w:val="0"/>
              <w:spacing w:before="0" w:after="0"/>
              <w:jc w:val="center"/>
              <w:rPr>
                <w:b/>
                <w:color w:val="000000"/>
              </w:rPr>
            </w:pPr>
            <w:r>
              <w:rPr>
                <w:b/>
                <w:color w:val="000000"/>
              </w:rPr>
              <w:t>2025</w:t>
            </w:r>
          </w:p>
        </w:tc>
        <w:tc>
          <w:tcPr>
            <w:tcW w:w="106"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845" w:type="dxa"/>
            <w:gridSpan w:val="2"/>
            <w:tcBorders/>
            <w:vAlign w:val="bottom"/>
          </w:tcPr>
          <w:p>
            <w:pPr>
              <w:pStyle w:val="TableContents"/>
              <w:bidi w:val="0"/>
              <w:spacing w:before="0" w:after="0"/>
              <w:jc w:val="center"/>
              <w:rPr>
                <w:b/>
                <w:color w:val="000000"/>
              </w:rPr>
            </w:pPr>
            <w:r>
              <w:rPr>
                <w:b/>
                <w:color w:val="000000"/>
              </w:rPr>
              <w:t>Change</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3" w:type="dxa"/>
            <w:gridSpan w:val="2"/>
            <w:tcBorders/>
            <w:vAlign w:val="bottom"/>
          </w:tcPr>
          <w:p>
            <w:pPr>
              <w:pStyle w:val="TableContents"/>
              <w:bidi w:val="0"/>
              <w:spacing w:before="0" w:after="0"/>
              <w:jc w:val="center"/>
              <w:rPr>
                <w:b/>
                <w:color w:val="000000"/>
              </w:rPr>
            </w:pPr>
            <w:r>
              <w:rPr>
                <w:b/>
                <w:color w:val="000000"/>
              </w:rPr>
              <w:t>2026</w:t>
            </w:r>
          </w:p>
        </w:tc>
        <w:tc>
          <w:tcPr>
            <w:tcW w:w="10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873" w:type="dxa"/>
            <w:gridSpan w:val="2"/>
            <w:tcBorders/>
            <w:vAlign w:val="bottom"/>
          </w:tcPr>
          <w:p>
            <w:pPr>
              <w:pStyle w:val="TableContents"/>
              <w:bidi w:val="0"/>
              <w:spacing w:before="0" w:after="0"/>
              <w:jc w:val="center"/>
              <w:rPr>
                <w:b/>
                <w:color w:val="000000"/>
              </w:rPr>
            </w:pPr>
            <w:r>
              <w:rPr>
                <w:b/>
                <w:color w:val="000000"/>
              </w:rPr>
              <w:t>2025</w:t>
            </w:r>
          </w:p>
        </w:tc>
        <w:tc>
          <w:tcPr>
            <w:tcW w:w="10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0"/>
              <w:jc w:val="center"/>
              <w:rPr>
                <w:b/>
                <w:color w:val="000000"/>
              </w:rPr>
            </w:pPr>
            <w:r>
              <w:rPr>
                <w:b/>
                <w:color w:val="000000"/>
              </w:rPr>
              <w:t>Change</w:t>
            </w:r>
          </w:p>
        </w:tc>
        <w:tc>
          <w:tcPr>
            <w:tcW w:w="60" w:type="dxa"/>
            <w:tcBorders/>
            <w:vAlign w:val="bottom"/>
          </w:tcPr>
          <w:p>
            <w:pPr>
              <w:pStyle w:val="TableContents"/>
              <w:bidi w:val="0"/>
              <w:spacing w:before="0" w:after="283"/>
              <w:jc w:val="left"/>
              <w:rPr/>
            </w:pPr>
            <w:r>
              <w:rPr/>
              <w:t> </w:t>
            </w:r>
          </w:p>
        </w:tc>
      </w:tr>
      <w:tr>
        <w:trPr/>
        <w:tc>
          <w:tcPr>
            <w:tcW w:w="1520" w:type="dxa"/>
            <w:tcBorders/>
            <w:shd w:fill="CCEEFF" w:val="clear"/>
            <w:vAlign w:val="bottom"/>
          </w:tcPr>
          <w:p>
            <w:pPr>
              <w:pStyle w:val="TableContents"/>
              <w:bidi w:val="0"/>
              <w:spacing w:before="0" w:after="0"/>
              <w:jc w:val="left"/>
              <w:rPr>
                <w:color w:val="000000"/>
              </w:rPr>
            </w:pPr>
            <w:r>
              <w:rPr>
                <w:color w:val="000000"/>
              </w:rPr>
              <w:t>Cost of services</w:t>
            </w:r>
          </w:p>
        </w:tc>
        <w:tc>
          <w:tcPr>
            <w:tcW w:w="60"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0"/>
              <w:jc w:val="left"/>
              <w:rPr>
                <w:color w:val="000000"/>
              </w:rPr>
            </w:pPr>
            <w:r>
              <w:rPr>
                <w:color w:val="000000"/>
              </w:rPr>
              <w:t>$</w:t>
            </w:r>
          </w:p>
        </w:tc>
        <w:tc>
          <w:tcPr>
            <w:tcW w:w="676" w:type="dxa"/>
            <w:tcBorders/>
            <w:shd w:fill="CCEEFF" w:val="clear"/>
            <w:vAlign w:val="bottom"/>
          </w:tcPr>
          <w:p>
            <w:pPr>
              <w:pStyle w:val="TableContents"/>
              <w:bidi w:val="0"/>
              <w:spacing w:before="0" w:after="0"/>
              <w:jc w:val="right"/>
              <w:rPr>
                <w:color w:val="000000"/>
              </w:rPr>
            </w:pPr>
            <w:r>
              <w:rPr>
                <w:color w:val="000000"/>
              </w:rPr>
              <w:t>497</w:t>
            </w:r>
          </w:p>
        </w:tc>
        <w:tc>
          <w:tcPr>
            <w:tcW w:w="106"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0"/>
              <w:jc w:val="left"/>
              <w:rPr>
                <w:color w:val="000000"/>
              </w:rPr>
            </w:pPr>
            <w:r>
              <w:rPr>
                <w:color w:val="000000"/>
              </w:rPr>
              <w:t>$</w:t>
            </w:r>
          </w:p>
        </w:tc>
        <w:tc>
          <w:tcPr>
            <w:tcW w:w="676" w:type="dxa"/>
            <w:tcBorders/>
            <w:shd w:fill="CCEEFF" w:val="clear"/>
            <w:vAlign w:val="bottom"/>
          </w:tcPr>
          <w:p>
            <w:pPr>
              <w:pStyle w:val="TableContents"/>
              <w:bidi w:val="0"/>
              <w:spacing w:before="0" w:after="0"/>
              <w:jc w:val="right"/>
              <w:rPr>
                <w:color w:val="000000"/>
              </w:rPr>
            </w:pPr>
            <w:r>
              <w:rPr>
                <w:color w:val="000000"/>
              </w:rPr>
              <w:t>509</w:t>
            </w:r>
          </w:p>
        </w:tc>
        <w:tc>
          <w:tcPr>
            <w:tcW w:w="106"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0"/>
              <w:jc w:val="left"/>
              <w:rPr>
                <w:color w:val="000000"/>
              </w:rPr>
            </w:pPr>
            <w:r>
              <w:rPr>
                <w:color w:val="000000"/>
              </w:rPr>
              <w:t>$</w:t>
            </w:r>
          </w:p>
        </w:tc>
        <w:tc>
          <w:tcPr>
            <w:tcW w:w="596" w:type="dxa"/>
            <w:tcBorders/>
            <w:shd w:fill="CCEEFF" w:val="clear"/>
            <w:vAlign w:val="bottom"/>
          </w:tcPr>
          <w:p>
            <w:pPr>
              <w:pStyle w:val="TableContents"/>
              <w:bidi w:val="0"/>
              <w:spacing w:before="0" w:after="0"/>
              <w:jc w:val="right"/>
              <w:rPr>
                <w:color w:val="000000"/>
              </w:rPr>
            </w:pPr>
            <w:r>
              <w:rPr>
                <w:color w:val="000000"/>
              </w:rPr>
              <w:t>(12</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0"/>
              <w:jc w:val="left"/>
              <w:rPr>
                <w:color w:val="000000"/>
              </w:rPr>
            </w:pPr>
            <w:r>
              <w:rPr>
                <w:color w:val="000000"/>
              </w:rPr>
              <w:t>$</w:t>
            </w:r>
          </w:p>
        </w:tc>
        <w:tc>
          <w:tcPr>
            <w:tcW w:w="638" w:type="dxa"/>
            <w:tcBorders/>
            <w:shd w:fill="CCEEFF" w:val="clear"/>
            <w:vAlign w:val="bottom"/>
          </w:tcPr>
          <w:p>
            <w:pPr>
              <w:pStyle w:val="TableContents"/>
              <w:bidi w:val="0"/>
              <w:spacing w:before="0" w:after="0"/>
              <w:jc w:val="right"/>
              <w:rPr>
                <w:color w:val="000000"/>
              </w:rPr>
            </w:pPr>
            <w:r>
              <w:rPr>
                <w:color w:val="000000"/>
              </w:rPr>
              <w:t>937</w:t>
            </w:r>
          </w:p>
        </w:tc>
        <w:tc>
          <w:tcPr>
            <w:tcW w:w="10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0"/>
              <w:jc w:val="left"/>
              <w:rPr>
                <w:color w:val="000000"/>
              </w:rPr>
            </w:pPr>
            <w:r>
              <w:rPr>
                <w:color w:val="000000"/>
              </w:rPr>
              <w:t>$</w:t>
            </w:r>
          </w:p>
        </w:tc>
        <w:tc>
          <w:tcPr>
            <w:tcW w:w="638" w:type="dxa"/>
            <w:tcBorders/>
            <w:shd w:fill="CCEEFF" w:val="clear"/>
            <w:vAlign w:val="bottom"/>
          </w:tcPr>
          <w:p>
            <w:pPr>
              <w:pStyle w:val="TableContents"/>
              <w:bidi w:val="0"/>
              <w:spacing w:before="0" w:after="0"/>
              <w:jc w:val="right"/>
              <w:rPr>
                <w:color w:val="000000"/>
              </w:rPr>
            </w:pPr>
            <w:r>
              <w:rPr>
                <w:color w:val="000000"/>
              </w:rPr>
              <w:t>884</w:t>
            </w:r>
          </w:p>
        </w:tc>
        <w:tc>
          <w:tcPr>
            <w:tcW w:w="10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0"/>
              <w:jc w:val="left"/>
              <w:rPr>
                <w:color w:val="000000"/>
              </w:rPr>
            </w:pPr>
            <w:r>
              <w:rPr>
                <w:color w:val="000000"/>
              </w:rPr>
              <w:t>$</w:t>
            </w:r>
          </w:p>
        </w:tc>
        <w:tc>
          <w:tcPr>
            <w:tcW w:w="530" w:type="dxa"/>
            <w:tcBorders/>
            <w:shd w:fill="CCEEFF" w:val="clear"/>
            <w:vAlign w:val="bottom"/>
          </w:tcPr>
          <w:p>
            <w:pPr>
              <w:pStyle w:val="TableContents"/>
              <w:bidi w:val="0"/>
              <w:spacing w:before="0" w:after="0"/>
              <w:jc w:val="right"/>
              <w:rPr>
                <w:color w:val="000000"/>
              </w:rPr>
            </w:pPr>
            <w:r>
              <w:rPr>
                <w:color w:val="000000"/>
              </w:rPr>
              <w:t>53</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decrease in cost of services for the three and six months ended June 30, 2026, compared to the corresponding periods in 2025, was not material.</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following table summarizes our research and development expenses for the following periods (in thousands):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53" w:name="z53e5b9d1c103468f9ce7e5a77196813a"/>
      <w:bookmarkStart w:id="154" w:name="z53e5b9d1c103468f9ce7e5a77196813a"/>
      <w:bookmarkEnd w:id="154"/>
    </w:p>
    <w:tbl>
      <w:tblPr>
        <w:tblW w:w="9627" w:type="dxa"/>
        <w:jc w:val="left"/>
        <w:tblInd w:w="0" w:type="dxa"/>
        <w:tblLayout w:type="fixed"/>
        <w:tblCellMar>
          <w:top w:w="0" w:type="dxa"/>
          <w:left w:w="0" w:type="dxa"/>
          <w:bottom w:w="0" w:type="dxa"/>
          <w:right w:w="0" w:type="dxa"/>
        </w:tblCellMar>
      </w:tblPr>
      <w:tblGrid>
        <w:gridCol w:w="4250"/>
        <w:gridCol w:w="60"/>
        <w:gridCol w:w="248"/>
        <w:gridCol w:w="1207"/>
        <w:gridCol w:w="106"/>
        <w:gridCol w:w="106"/>
        <w:gridCol w:w="248"/>
        <w:gridCol w:w="1207"/>
        <w:gridCol w:w="60"/>
        <w:gridCol w:w="60"/>
        <w:gridCol w:w="163"/>
        <w:gridCol w:w="652"/>
        <w:gridCol w:w="95"/>
        <w:gridCol w:w="60"/>
        <w:gridCol w:w="111"/>
        <w:gridCol w:w="704"/>
        <w:gridCol w:w="290"/>
      </w:tblGrid>
      <w:tr>
        <w:trPr/>
        <w:tc>
          <w:tcPr>
            <w:tcW w:w="4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22" w:type="dxa"/>
            <w:gridSpan w:val="6"/>
            <w:tcBorders>
              <w:top w:val="single" w:sz="12" w:space="0" w:color="000000"/>
              <w:bottom w:val="single" w:sz="12" w:space="0" w:color="000000"/>
            </w:tcBorders>
            <w:tcMar>
              <w:top w:w="28" w:type="dxa"/>
              <w:bottom w:w="28" w:type="dxa"/>
            </w:tcMar>
            <w:vAlign w:val="bottom"/>
          </w:tcPr>
          <w:p>
            <w:pPr>
              <w:pStyle w:val="TableContents"/>
              <w:bidi w:val="0"/>
              <w:spacing w:before="0" w:after="0"/>
              <w:jc w:val="center"/>
              <w:rPr>
                <w:b/>
                <w:color w:val="000000"/>
              </w:rPr>
            </w:pPr>
            <w:r>
              <w:rPr>
                <w:b/>
                <w:color w:val="000000"/>
              </w:rPr>
              <w:t>Three Months Ended June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top w:val="single" w:sz="12" w:space="0" w:color="000000"/>
              <w:bottom w:val="single" w:sz="12" w:space="0" w:color="000000"/>
            </w:tcBorders>
            <w:tcMar>
              <w:top w:w="28" w:type="dxa"/>
              <w:bottom w:w="28" w:type="dxa"/>
            </w:tcMar>
            <w:vAlign w:val="bottom"/>
          </w:tcPr>
          <w:p>
            <w:pPr>
              <w:pStyle w:val="TableContents"/>
              <w:bidi w:val="0"/>
              <w:spacing w:before="0" w:after="0"/>
              <w:jc w:val="center"/>
              <w:rPr>
                <w:b/>
                <w:color w:val="000000"/>
              </w:rPr>
            </w:pPr>
            <w:r>
              <w:rPr>
                <w:b/>
                <w:color w:val="000000"/>
              </w:rPr>
              <w:t>Change</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top w:val="single" w:sz="12" w:space="0" w:color="000000"/>
              <w:bottom w:val="single" w:sz="12" w:space="0" w:color="000000"/>
            </w:tcBorders>
            <w:tcMar>
              <w:top w:w="28" w:type="dxa"/>
              <w:bottom w:w="28" w:type="dxa"/>
            </w:tcMar>
            <w:vAlign w:val="bottom"/>
          </w:tcPr>
          <w:p>
            <w:pPr>
              <w:pStyle w:val="TableContents"/>
              <w:bidi w:val="0"/>
              <w:spacing w:before="0" w:after="0"/>
              <w:jc w:val="center"/>
              <w:rPr>
                <w:b/>
                <w:color w:val="000000"/>
              </w:rPr>
            </w:pPr>
            <w:r>
              <w:rPr>
                <w:b/>
                <w:color w:val="000000"/>
              </w:rPr>
              <w:t>Change</w:t>
            </w:r>
          </w:p>
        </w:tc>
        <w:tc>
          <w:tcPr>
            <w:tcW w:w="290" w:type="dxa"/>
            <w:tcBorders/>
            <w:vAlign w:val="bottom"/>
          </w:tcPr>
          <w:p>
            <w:pPr>
              <w:pStyle w:val="TableContents"/>
              <w:bidi w:val="0"/>
              <w:spacing w:before="0" w:after="283"/>
              <w:jc w:val="left"/>
              <w:rPr/>
            </w:pPr>
            <w:r>
              <w:rPr/>
              <w:t> </w:t>
            </w:r>
          </w:p>
        </w:tc>
      </w:tr>
      <w:tr>
        <w:trPr/>
        <w:tc>
          <w:tcPr>
            <w:tcW w:w="4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106"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5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 w:type="dxa"/>
            <w:tcBorders>
              <w:bottom w:val="single" w:sz="12" w:space="0" w:color="000000"/>
            </w:tcBorders>
            <w:tcMar>
              <w:bottom w:w="28" w:type="dxa"/>
            </w:tcMar>
            <w:vAlign w:val="bottom"/>
          </w:tcPr>
          <w:p>
            <w:pPr>
              <w:pStyle w:val="TableContents"/>
              <w:bidi w:val="0"/>
              <w:spacing w:before="0" w:after="0"/>
              <w:jc w:val="left"/>
              <w:rPr>
                <w:b/>
                <w:color w:val="000000"/>
              </w:rPr>
            </w:pPr>
            <w:r>
              <w:rPr>
                <w:b/>
                <w:color w:val="000000"/>
              </w:rPr>
            </w:r>
          </w:p>
        </w:tc>
        <w:tc>
          <w:tcPr>
            <w:tcW w:w="704" w:type="dxa"/>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t>
            </w:r>
          </w:p>
        </w:tc>
        <w:tc>
          <w:tcPr>
            <w:tcW w:w="290" w:type="dxa"/>
            <w:tcBorders/>
            <w:vAlign w:val="bottom"/>
          </w:tcPr>
          <w:p>
            <w:pPr>
              <w:pStyle w:val="TableContents"/>
              <w:bidi w:val="0"/>
              <w:spacing w:before="0" w:after="283"/>
              <w:jc w:val="left"/>
              <w:rPr/>
            </w:pPr>
            <w:r>
              <w:rPr/>
              <w:t> </w:t>
            </w:r>
          </w:p>
        </w:tc>
      </w:tr>
      <w:tr>
        <w:trPr/>
        <w:tc>
          <w:tcPr>
            <w:tcW w:w="4250" w:type="dxa"/>
            <w:tcBorders/>
            <w:shd w:fill="CCEEFF" w:val="clear"/>
            <w:vAlign w:val="bottom"/>
          </w:tcPr>
          <w:p>
            <w:pPr>
              <w:pStyle w:val="TableContents"/>
              <w:bidi w:val="0"/>
              <w:spacing w:before="0" w:after="0"/>
              <w:jc w:val="left"/>
              <w:rPr>
                <w:color w:val="000000"/>
              </w:rPr>
            </w:pPr>
            <w:r>
              <w:rPr>
                <w:color w:val="000000"/>
              </w:rPr>
              <w:t>Salaries and benefits</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0"/>
              <w:jc w:val="left"/>
              <w:rPr>
                <w:color w:val="000000"/>
              </w:rPr>
            </w:pPr>
            <w:r>
              <w:rPr>
                <w:color w:val="000000"/>
              </w:rPr>
              <w:t>$</w:t>
            </w:r>
          </w:p>
        </w:tc>
        <w:tc>
          <w:tcPr>
            <w:tcW w:w="1207" w:type="dxa"/>
            <w:tcBorders/>
            <w:shd w:fill="CCEEFF" w:val="clear"/>
            <w:vAlign w:val="bottom"/>
          </w:tcPr>
          <w:p>
            <w:pPr>
              <w:pStyle w:val="TableContents"/>
              <w:bidi w:val="0"/>
              <w:spacing w:before="0" w:after="0"/>
              <w:jc w:val="right"/>
              <w:rPr>
                <w:color w:val="000000"/>
              </w:rPr>
            </w:pPr>
            <w:r>
              <w:rPr>
                <w:color w:val="000000"/>
              </w:rPr>
              <w:t>18,844</w:t>
            </w:r>
          </w:p>
        </w:tc>
        <w:tc>
          <w:tcPr>
            <w:tcW w:w="106"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0"/>
              <w:jc w:val="left"/>
              <w:rPr>
                <w:color w:val="000000"/>
              </w:rPr>
            </w:pPr>
            <w:r>
              <w:rPr>
                <w:color w:val="000000"/>
              </w:rPr>
              <w:t>$</w:t>
            </w:r>
          </w:p>
        </w:tc>
        <w:tc>
          <w:tcPr>
            <w:tcW w:w="1207" w:type="dxa"/>
            <w:tcBorders/>
            <w:shd w:fill="CCEEFF" w:val="clear"/>
            <w:vAlign w:val="bottom"/>
          </w:tcPr>
          <w:p>
            <w:pPr>
              <w:pStyle w:val="TableContents"/>
              <w:bidi w:val="0"/>
              <w:spacing w:before="0" w:after="0"/>
              <w:jc w:val="right"/>
              <w:rPr>
                <w:color w:val="000000"/>
              </w:rPr>
            </w:pPr>
            <w:r>
              <w:rPr>
                <w:color w:val="000000"/>
              </w:rPr>
              <w:t>17,422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0"/>
              <w:jc w:val="left"/>
              <w:rPr>
                <w:color w:val="000000"/>
              </w:rPr>
            </w:pPr>
            <w:r>
              <w:rPr>
                <w:color w:val="000000"/>
              </w:rPr>
              <w:t>$</w:t>
            </w:r>
          </w:p>
        </w:tc>
        <w:tc>
          <w:tcPr>
            <w:tcW w:w="652" w:type="dxa"/>
            <w:tcBorders/>
            <w:shd w:fill="CCEEFF" w:val="clear"/>
            <w:vAlign w:val="bottom"/>
          </w:tcPr>
          <w:p>
            <w:pPr>
              <w:pStyle w:val="TableContents"/>
              <w:bidi w:val="0"/>
              <w:spacing w:before="0" w:after="0"/>
              <w:jc w:val="right"/>
              <w:rPr>
                <w:color w:val="000000"/>
              </w:rPr>
            </w:pPr>
            <w:r>
              <w:rPr>
                <w:color w:val="000000"/>
              </w:rPr>
              <w:t>1,422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0"/>
              <w:jc w:val="right"/>
              <w:rPr>
                <w:color w:val="000000"/>
              </w:rPr>
            </w:pPr>
            <w:r>
              <w:rPr>
                <w:color w:val="000000"/>
              </w:rPr>
              <w:t>8</w:t>
            </w:r>
          </w:p>
        </w:tc>
        <w:tc>
          <w:tcPr>
            <w:tcW w:w="290" w:type="dxa"/>
            <w:tcBorders/>
            <w:shd w:fill="CCEEFF" w:val="clear"/>
            <w:vAlign w:val="bottom"/>
          </w:tcPr>
          <w:p>
            <w:pPr>
              <w:pStyle w:val="TableContents"/>
              <w:bidi w:val="0"/>
              <w:spacing w:before="0" w:after="0"/>
              <w:jc w:val="left"/>
              <w:rPr>
                <w:color w:val="000000"/>
              </w:rPr>
            </w:pPr>
            <w:r>
              <w:rPr>
                <w:color w:val="000000"/>
              </w:rPr>
              <w:t>%</w:t>
            </w:r>
          </w:p>
        </w:tc>
      </w:tr>
      <w:tr>
        <w:trPr/>
        <w:tc>
          <w:tcPr>
            <w:tcW w:w="4250" w:type="dxa"/>
            <w:tcBorders/>
            <w:vAlign w:val="bottom"/>
          </w:tcPr>
          <w:p>
            <w:pPr>
              <w:pStyle w:val="TableContents"/>
              <w:bidi w:val="0"/>
              <w:spacing w:before="0" w:after="0"/>
              <w:jc w:val="left"/>
              <w:rPr>
                <w:color w:val="000000"/>
              </w:rPr>
            </w:pPr>
            <w:r>
              <w:rPr>
                <w:color w:val="000000"/>
              </w:rPr>
              <w:t>Facility, depreciation and amortization</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0"/>
              <w:jc w:val="right"/>
              <w:rPr>
                <w:color w:val="000000"/>
              </w:rPr>
            </w:pPr>
            <w:r>
              <w:rPr>
                <w:color w:val="000000"/>
              </w:rPr>
              <w:t>15,414</w:t>
            </w:r>
          </w:p>
        </w:tc>
        <w:tc>
          <w:tcPr>
            <w:tcW w:w="106"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0"/>
              <w:jc w:val="right"/>
              <w:rPr>
                <w:color w:val="000000"/>
              </w:rPr>
            </w:pPr>
            <w:r>
              <w:rPr>
                <w:color w:val="000000"/>
              </w:rPr>
              <w:t>15,977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0"/>
              <w:jc w:val="right"/>
              <w:rPr>
                <w:color w:val="000000"/>
              </w:rPr>
            </w:pPr>
            <w:r>
              <w:rPr>
                <w:color w:val="000000"/>
              </w:rPr>
              <w:t>(563</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0"/>
              <w:jc w:val="right"/>
              <w:rPr>
                <w:color w:val="000000"/>
              </w:rPr>
            </w:pPr>
            <w:r>
              <w:rPr>
                <w:color w:val="000000"/>
              </w:rPr>
              <w:t>(4</w:t>
            </w:r>
          </w:p>
        </w:tc>
        <w:tc>
          <w:tcPr>
            <w:tcW w:w="290" w:type="dxa"/>
            <w:tcBorders/>
            <w:vAlign w:val="bottom"/>
          </w:tcPr>
          <w:p>
            <w:pPr>
              <w:pStyle w:val="TableContents"/>
              <w:bidi w:val="0"/>
              <w:spacing w:before="0" w:after="0"/>
              <w:jc w:val="left"/>
              <w:rPr>
                <w:color w:val="000000"/>
              </w:rPr>
            </w:pPr>
            <w:r>
              <w:rPr>
                <w:color w:val="000000"/>
              </w:rPr>
              <w:t>)%</w:t>
            </w:r>
          </w:p>
        </w:tc>
      </w:tr>
      <w:tr>
        <w:trPr/>
        <w:tc>
          <w:tcPr>
            <w:tcW w:w="4250" w:type="dxa"/>
            <w:tcBorders/>
            <w:shd w:fill="CCEEFF" w:val="clear"/>
            <w:vAlign w:val="bottom"/>
          </w:tcPr>
          <w:p>
            <w:pPr>
              <w:pStyle w:val="TableContents"/>
              <w:bidi w:val="0"/>
              <w:spacing w:before="0" w:after="0"/>
              <w:jc w:val="left"/>
              <w:rPr>
                <w:color w:val="000000"/>
              </w:rPr>
            </w:pPr>
            <w:r>
              <w:rPr>
                <w:color w:val="000000"/>
              </w:rPr>
              <w:t>Materials, laboratory supplies and equipment</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0"/>
              <w:jc w:val="right"/>
              <w:rPr>
                <w:color w:val="000000"/>
              </w:rPr>
            </w:pPr>
            <w:r>
              <w:rPr>
                <w:color w:val="000000"/>
              </w:rPr>
              <w:t>11,716</w:t>
            </w:r>
          </w:p>
        </w:tc>
        <w:tc>
          <w:tcPr>
            <w:tcW w:w="106"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0"/>
              <w:jc w:val="right"/>
              <w:rPr>
                <w:color w:val="000000"/>
              </w:rPr>
            </w:pPr>
            <w:r>
              <w:rPr>
                <w:color w:val="000000"/>
              </w:rPr>
              <w:t>4,816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652" w:type="dxa"/>
            <w:tcBorders/>
            <w:shd w:fill="CCEEFF" w:val="clear"/>
            <w:vAlign w:val="bottom"/>
          </w:tcPr>
          <w:p>
            <w:pPr>
              <w:pStyle w:val="TableContents"/>
              <w:bidi w:val="0"/>
              <w:spacing w:before="0" w:after="0"/>
              <w:jc w:val="right"/>
              <w:rPr>
                <w:color w:val="000000"/>
              </w:rPr>
            </w:pPr>
            <w:r>
              <w:rPr>
                <w:color w:val="000000"/>
              </w:rPr>
              <w:t>6,900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0"/>
              <w:jc w:val="right"/>
              <w:rPr>
                <w:color w:val="000000"/>
              </w:rPr>
            </w:pPr>
            <w:r>
              <w:rPr>
                <w:color w:val="000000"/>
              </w:rPr>
              <w:t>143</w:t>
            </w:r>
          </w:p>
        </w:tc>
        <w:tc>
          <w:tcPr>
            <w:tcW w:w="290" w:type="dxa"/>
            <w:tcBorders/>
            <w:shd w:fill="CCEEFF" w:val="clear"/>
            <w:vAlign w:val="bottom"/>
          </w:tcPr>
          <w:p>
            <w:pPr>
              <w:pStyle w:val="TableContents"/>
              <w:bidi w:val="0"/>
              <w:spacing w:before="0" w:after="0"/>
              <w:jc w:val="left"/>
              <w:rPr>
                <w:color w:val="000000"/>
              </w:rPr>
            </w:pPr>
            <w:r>
              <w:rPr>
                <w:color w:val="000000"/>
              </w:rPr>
              <w:t>%</w:t>
            </w:r>
          </w:p>
        </w:tc>
      </w:tr>
      <w:tr>
        <w:trPr/>
        <w:tc>
          <w:tcPr>
            <w:tcW w:w="4250" w:type="dxa"/>
            <w:tcBorders/>
            <w:vAlign w:val="bottom"/>
          </w:tcPr>
          <w:p>
            <w:pPr>
              <w:pStyle w:val="TableContents"/>
              <w:bidi w:val="0"/>
              <w:spacing w:before="0" w:after="0"/>
              <w:jc w:val="left"/>
              <w:rPr>
                <w:color w:val="000000"/>
              </w:rPr>
            </w:pPr>
            <w:r>
              <w:rPr>
                <w:color w:val="000000"/>
              </w:rPr>
              <w:t>Information technology</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0"/>
              <w:jc w:val="right"/>
              <w:rPr>
                <w:color w:val="000000"/>
              </w:rPr>
            </w:pPr>
            <w:r>
              <w:rPr>
                <w:color w:val="000000"/>
              </w:rPr>
              <w:t>3,163</w:t>
            </w:r>
          </w:p>
        </w:tc>
        <w:tc>
          <w:tcPr>
            <w:tcW w:w="106"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0"/>
              <w:jc w:val="right"/>
              <w:rPr>
                <w:color w:val="000000"/>
              </w:rPr>
            </w:pPr>
            <w:r>
              <w:rPr>
                <w:color w:val="000000"/>
              </w:rPr>
              <w:t>3,115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0"/>
              <w:jc w:val="right"/>
              <w:rPr>
                <w:color w:val="000000"/>
              </w:rPr>
            </w:pPr>
            <w:r>
              <w:rPr>
                <w:color w:val="000000"/>
              </w:rPr>
              <w:t>48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0"/>
              <w:jc w:val="right"/>
              <w:rPr>
                <w:color w:val="000000"/>
              </w:rPr>
            </w:pPr>
            <w:r>
              <w:rPr>
                <w:color w:val="000000"/>
              </w:rPr>
              <w:t>2</w:t>
            </w:r>
          </w:p>
        </w:tc>
        <w:tc>
          <w:tcPr>
            <w:tcW w:w="290" w:type="dxa"/>
            <w:tcBorders/>
            <w:vAlign w:val="bottom"/>
          </w:tcPr>
          <w:p>
            <w:pPr>
              <w:pStyle w:val="TableContents"/>
              <w:bidi w:val="0"/>
              <w:spacing w:before="0" w:after="0"/>
              <w:jc w:val="left"/>
              <w:rPr>
                <w:color w:val="000000"/>
              </w:rPr>
            </w:pPr>
            <w:r>
              <w:rPr>
                <w:color w:val="000000"/>
              </w:rPr>
              <w:t>%</w:t>
            </w:r>
          </w:p>
        </w:tc>
      </w:tr>
      <w:tr>
        <w:trPr/>
        <w:tc>
          <w:tcPr>
            <w:tcW w:w="4250" w:type="dxa"/>
            <w:tcBorders/>
            <w:shd w:fill="CCEEFF" w:val="clear"/>
            <w:vAlign w:val="bottom"/>
          </w:tcPr>
          <w:p>
            <w:pPr>
              <w:pStyle w:val="TableContents"/>
              <w:bidi w:val="0"/>
              <w:spacing w:before="0" w:after="0"/>
              <w:jc w:val="left"/>
              <w:rPr>
                <w:color w:val="000000"/>
              </w:rPr>
            </w:pPr>
            <w:r>
              <w:rPr>
                <w:color w:val="000000"/>
              </w:rPr>
              <w:t>Direct research and development costs</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0"/>
              <w:jc w:val="right"/>
              <w:rPr>
                <w:color w:val="000000"/>
              </w:rPr>
            </w:pPr>
            <w:r>
              <w:rPr>
                <w:color w:val="000000"/>
              </w:rPr>
              <w:t>2,288</w:t>
            </w:r>
          </w:p>
        </w:tc>
        <w:tc>
          <w:tcPr>
            <w:tcW w:w="106"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0"/>
              <w:jc w:val="right"/>
              <w:rPr>
                <w:color w:val="000000"/>
              </w:rPr>
            </w:pPr>
            <w:r>
              <w:rPr>
                <w:color w:val="000000"/>
              </w:rPr>
              <w:t>3,014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652" w:type="dxa"/>
            <w:tcBorders/>
            <w:shd w:fill="CCEEFF" w:val="clear"/>
            <w:vAlign w:val="bottom"/>
          </w:tcPr>
          <w:p>
            <w:pPr>
              <w:pStyle w:val="TableContents"/>
              <w:bidi w:val="0"/>
              <w:spacing w:before="0" w:after="0"/>
              <w:jc w:val="right"/>
              <w:rPr>
                <w:color w:val="000000"/>
              </w:rPr>
            </w:pPr>
            <w:r>
              <w:rPr>
                <w:color w:val="000000"/>
              </w:rPr>
              <w:t>(726</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0"/>
              <w:jc w:val="right"/>
              <w:rPr>
                <w:color w:val="000000"/>
              </w:rPr>
            </w:pPr>
            <w:r>
              <w:rPr>
                <w:color w:val="000000"/>
              </w:rPr>
              <w:t>(24</w:t>
            </w:r>
          </w:p>
        </w:tc>
        <w:tc>
          <w:tcPr>
            <w:tcW w:w="290" w:type="dxa"/>
            <w:tcBorders/>
            <w:shd w:fill="CCEEFF" w:val="clear"/>
            <w:vAlign w:val="bottom"/>
          </w:tcPr>
          <w:p>
            <w:pPr>
              <w:pStyle w:val="TableContents"/>
              <w:bidi w:val="0"/>
              <w:spacing w:before="0" w:after="0"/>
              <w:jc w:val="left"/>
              <w:rPr>
                <w:color w:val="000000"/>
              </w:rPr>
            </w:pPr>
            <w:r>
              <w:rPr>
                <w:color w:val="000000"/>
              </w:rPr>
              <w:t>)%</w:t>
            </w:r>
          </w:p>
        </w:tc>
      </w:tr>
      <w:tr>
        <w:trPr/>
        <w:tc>
          <w:tcPr>
            <w:tcW w:w="4250" w:type="dxa"/>
            <w:tcBorders/>
            <w:vAlign w:val="bottom"/>
          </w:tcPr>
          <w:p>
            <w:pPr>
              <w:pStyle w:val="TableContents"/>
              <w:bidi w:val="0"/>
              <w:spacing w:before="0" w:after="0"/>
              <w:jc w:val="left"/>
              <w:rPr>
                <w:color w:val="000000"/>
              </w:rPr>
            </w:pPr>
            <w:r>
              <w:rPr>
                <w:color w:val="000000"/>
              </w:rPr>
              <w:t>Stock-based compensation</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0"/>
              <w:jc w:val="right"/>
              <w:rPr>
                <w:color w:val="000000"/>
              </w:rPr>
            </w:pPr>
            <w:r>
              <w:rPr>
                <w:color w:val="000000"/>
              </w:rPr>
              <w:t>1,277</w:t>
            </w:r>
          </w:p>
        </w:tc>
        <w:tc>
          <w:tcPr>
            <w:tcW w:w="106"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0"/>
              <w:jc w:val="right"/>
              <w:rPr>
                <w:color w:val="000000"/>
              </w:rPr>
            </w:pPr>
            <w:r>
              <w:rPr>
                <w:color w:val="000000"/>
              </w:rPr>
              <w:t>1,382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0"/>
              <w:jc w:val="right"/>
              <w:rPr>
                <w:color w:val="000000"/>
              </w:rPr>
            </w:pPr>
            <w:r>
              <w:rPr>
                <w:color w:val="000000"/>
              </w:rPr>
              <w:t>(105</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0"/>
              <w:jc w:val="right"/>
              <w:rPr>
                <w:color w:val="000000"/>
              </w:rPr>
            </w:pPr>
            <w:r>
              <w:rPr>
                <w:color w:val="000000"/>
              </w:rPr>
              <w:t>(8</w:t>
            </w:r>
          </w:p>
        </w:tc>
        <w:tc>
          <w:tcPr>
            <w:tcW w:w="290" w:type="dxa"/>
            <w:tcBorders/>
            <w:vAlign w:val="bottom"/>
          </w:tcPr>
          <w:p>
            <w:pPr>
              <w:pStyle w:val="TableContents"/>
              <w:bidi w:val="0"/>
              <w:spacing w:before="0" w:after="0"/>
              <w:jc w:val="left"/>
              <w:rPr>
                <w:color w:val="000000"/>
              </w:rPr>
            </w:pPr>
            <w:r>
              <w:rPr>
                <w:color w:val="000000"/>
              </w:rPr>
              <w:t>)%</w:t>
            </w:r>
          </w:p>
        </w:tc>
      </w:tr>
      <w:tr>
        <w:trPr/>
        <w:tc>
          <w:tcPr>
            <w:tcW w:w="4250" w:type="dxa"/>
            <w:tcBorders/>
            <w:shd w:fill="CCEEFF" w:val="clear"/>
            <w:vAlign w:val="bottom"/>
          </w:tcPr>
          <w:p>
            <w:pPr>
              <w:pStyle w:val="TableContents"/>
              <w:bidi w:val="0"/>
              <w:spacing w:before="0" w:after="0"/>
              <w:jc w:val="left"/>
              <w:rPr>
                <w:color w:val="000000"/>
              </w:rPr>
            </w:pPr>
            <w:r>
              <w:rPr>
                <w:color w:val="000000"/>
              </w:rPr>
              <w:t>Consulting and contractor</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0"/>
              <w:jc w:val="right"/>
              <w:rPr>
                <w:color w:val="000000"/>
              </w:rPr>
            </w:pPr>
            <w:r>
              <w:rPr>
                <w:color w:val="000000"/>
              </w:rPr>
              <w:t>1,272</w:t>
            </w:r>
          </w:p>
        </w:tc>
        <w:tc>
          <w:tcPr>
            <w:tcW w:w="106"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0"/>
              <w:jc w:val="right"/>
              <w:rPr>
                <w:color w:val="000000"/>
              </w:rPr>
            </w:pPr>
            <w:r>
              <w:rPr>
                <w:color w:val="000000"/>
              </w:rPr>
              <w:t>1,004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652" w:type="dxa"/>
            <w:tcBorders/>
            <w:shd w:fill="CCEEFF" w:val="clear"/>
            <w:vAlign w:val="bottom"/>
          </w:tcPr>
          <w:p>
            <w:pPr>
              <w:pStyle w:val="TableContents"/>
              <w:bidi w:val="0"/>
              <w:spacing w:before="0" w:after="0"/>
              <w:jc w:val="right"/>
              <w:rPr>
                <w:color w:val="000000"/>
              </w:rPr>
            </w:pPr>
            <w:r>
              <w:rPr>
                <w:color w:val="000000"/>
              </w:rPr>
              <w:t>268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0"/>
              <w:jc w:val="right"/>
              <w:rPr>
                <w:color w:val="000000"/>
              </w:rPr>
            </w:pPr>
            <w:r>
              <w:rPr>
                <w:color w:val="000000"/>
              </w:rPr>
              <w:t>27</w:t>
            </w:r>
          </w:p>
        </w:tc>
        <w:tc>
          <w:tcPr>
            <w:tcW w:w="290" w:type="dxa"/>
            <w:tcBorders/>
            <w:shd w:fill="CCEEFF" w:val="clear"/>
            <w:vAlign w:val="bottom"/>
          </w:tcPr>
          <w:p>
            <w:pPr>
              <w:pStyle w:val="TableContents"/>
              <w:bidi w:val="0"/>
              <w:spacing w:before="0" w:after="0"/>
              <w:jc w:val="left"/>
              <w:rPr>
                <w:color w:val="000000"/>
              </w:rPr>
            </w:pPr>
            <w:r>
              <w:rPr>
                <w:color w:val="000000"/>
              </w:rPr>
              <w:t>%</w:t>
            </w:r>
          </w:p>
        </w:tc>
      </w:tr>
      <w:tr>
        <w:trPr/>
        <w:tc>
          <w:tcPr>
            <w:tcW w:w="4250" w:type="dxa"/>
            <w:tcBorders/>
            <w:vAlign w:val="bottom"/>
          </w:tcPr>
          <w:p>
            <w:pPr>
              <w:pStyle w:val="TableContents"/>
              <w:bidi w:val="0"/>
              <w:spacing w:before="0" w:after="0"/>
              <w:jc w:val="left"/>
              <w:rPr>
                <w:color w:val="000000"/>
              </w:rPr>
            </w:pPr>
            <w:r>
              <w:rPr>
                <w:color w:val="000000"/>
              </w:rPr>
              <w:t>Other</w:t>
            </w:r>
          </w:p>
        </w:tc>
        <w:tc>
          <w:tcPr>
            <w:tcW w:w="60" w:type="dxa"/>
            <w:tcBorders/>
            <w:vAlign w:val="bottom"/>
          </w:tcPr>
          <w:p>
            <w:pPr>
              <w:pStyle w:val="TableContents"/>
              <w:bidi w:val="0"/>
              <w:spacing w:before="0" w:after="283"/>
              <w:jc w:val="left"/>
              <w:rPr/>
            </w:pPr>
            <w:r>
              <w:rPr/>
              <w:t> </w:t>
            </w:r>
          </w:p>
        </w:tc>
        <w:tc>
          <w:tcPr>
            <w:tcW w:w="248" w:type="dxa"/>
            <w:tcBorders>
              <w:bottom w:val="single" w:sz="12" w:space="0" w:color="000000"/>
            </w:tcBorders>
            <w:tcMar>
              <w:bottom w:w="28" w:type="dxa"/>
            </w:tcMar>
            <w:vAlign w:val="bottom"/>
          </w:tcPr>
          <w:p>
            <w:pPr>
              <w:pStyle w:val="TableContents"/>
              <w:bidi w:val="0"/>
              <w:spacing w:before="0" w:after="283"/>
              <w:jc w:val="left"/>
              <w:rPr/>
            </w:pPr>
            <w:r>
              <w:rPr/>
              <w:t> </w:t>
            </w:r>
          </w:p>
        </w:tc>
        <w:tc>
          <w:tcPr>
            <w:tcW w:w="120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299</w:t>
            </w:r>
          </w:p>
        </w:tc>
        <w:tc>
          <w:tcPr>
            <w:tcW w:w="106"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248" w:type="dxa"/>
            <w:tcBorders>
              <w:bottom w:val="single" w:sz="12" w:space="0" w:color="000000"/>
            </w:tcBorders>
            <w:tcMar>
              <w:bottom w:w="28" w:type="dxa"/>
            </w:tcMar>
            <w:vAlign w:val="bottom"/>
          </w:tcPr>
          <w:p>
            <w:pPr>
              <w:pStyle w:val="TableContents"/>
              <w:bidi w:val="0"/>
              <w:spacing w:before="0" w:after="283"/>
              <w:jc w:val="left"/>
              <w:rPr/>
            </w:pPr>
            <w:r>
              <w:rPr/>
              <w:t> </w:t>
            </w:r>
          </w:p>
        </w:tc>
        <w:tc>
          <w:tcPr>
            <w:tcW w:w="120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bottom w:val="single" w:sz="12" w:space="0" w:color="000000"/>
            </w:tcBorders>
            <w:tcMar>
              <w:bottom w:w="28" w:type="dxa"/>
            </w:tcMar>
            <w:vAlign w:val="bottom"/>
          </w:tcPr>
          <w:p>
            <w:pPr>
              <w:pStyle w:val="TableContents"/>
              <w:bidi w:val="0"/>
              <w:spacing w:before="0" w:after="283"/>
              <w:jc w:val="left"/>
              <w:rPr/>
            </w:pPr>
            <w:r>
              <w:rPr/>
              <w:t> </w:t>
            </w:r>
          </w:p>
        </w:tc>
        <w:tc>
          <w:tcPr>
            <w:tcW w:w="65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(28</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11" w:type="dxa"/>
            <w:tcBorders>
              <w:bottom w:val="single" w:sz="12" w:space="0" w:color="000000"/>
            </w:tcBorders>
            <w:tcMar>
              <w:bottom w:w="28" w:type="dxa"/>
            </w:tcMar>
            <w:vAlign w:val="bottom"/>
          </w:tcPr>
          <w:p>
            <w:pPr>
              <w:pStyle w:val="TableContents"/>
              <w:bidi w:val="0"/>
              <w:spacing w:before="0" w:after="283"/>
              <w:jc w:val="left"/>
              <w:rPr/>
            </w:pPr>
            <w:r>
              <w:rPr/>
              <w:t> </w:t>
            </w:r>
          </w:p>
        </w:tc>
        <w:tc>
          <w:tcPr>
            <w:tcW w:w="70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(9</w:t>
            </w:r>
          </w:p>
        </w:tc>
        <w:tc>
          <w:tcPr>
            <w:tcW w:w="290" w:type="dxa"/>
            <w:tcBorders/>
            <w:vAlign w:val="bottom"/>
          </w:tcPr>
          <w:p>
            <w:pPr>
              <w:pStyle w:val="TableContents"/>
              <w:bidi w:val="0"/>
              <w:spacing w:before="0" w:after="0"/>
              <w:jc w:val="left"/>
              <w:rPr>
                <w:color w:val="000000"/>
              </w:rPr>
            </w:pPr>
            <w:r>
              <w:rPr>
                <w:color w:val="000000"/>
              </w:rPr>
              <w:t>)%</w:t>
            </w:r>
          </w:p>
        </w:tc>
      </w:tr>
      <w:tr>
        <w:trPr/>
        <w:tc>
          <w:tcPr>
            <w:tcW w:w="4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07"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54,273</w:t>
            </w:r>
          </w:p>
        </w:tc>
        <w:tc>
          <w:tcPr>
            <w:tcW w:w="106"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248"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07"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47,057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52"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7,216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04"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15</w:t>
            </w:r>
          </w:p>
        </w:tc>
        <w:tc>
          <w:tcPr>
            <w:tcW w:w="290"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Research and development expenses increased by $7.2 million, from $47.1 million for the three months ended June 30, 2025, to $54.3 million for the three months ended June 30, 2026.</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increase was primarily attributable to:</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55" w:name="z6be8d4a331074b999935b802986f4887"/>
      <w:bookmarkStart w:id="156" w:name="z6be8d4a331074b999935b802986f4887"/>
      <w:bookmarkEnd w:id="156"/>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$6.9 million increase in materials, laboratory supplies and equipment expenses, mainly due to increased raw material purchases associated with the commencement of Early Access Program (“EAP”) testing in early 2026 to operationalize the end-to-end commercial workflow for the CRC test, as well as increased spending on development projects;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57" w:name="zb0c3e41f9f2b4566a941b3896a6bd02f"/>
      <w:bookmarkStart w:id="158" w:name="zb0c3e41f9f2b4566a941b3896a6bd02f"/>
      <w:bookmarkEnd w:id="158"/>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$1.3 million increase in personnel-related expenses, including salaries, benefits and stock-based compensation, primarily driven by higher salaries, bonus expense and other payroll-related costs resulting from additional corporate employees, partially offset by a decrease in stock-based compensation.</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59" w:name="z9b35c7516741427083d26779f256247c"/>
      <w:bookmarkStart w:id="160" w:name="z9b35c7516741427083d26779f256247c"/>
      <w:bookmarkEnd w:id="160"/>
    </w:p>
    <w:tbl>
      <w:tblPr>
        <w:tblW w:w="6213" w:type="dxa"/>
        <w:jc w:val="left"/>
        <w:tblInd w:w="0" w:type="dxa"/>
        <w:tblLayout w:type="fixed"/>
        <w:tblCellMar>
          <w:top w:w="0" w:type="dxa"/>
          <w:left w:w="0" w:type="dxa"/>
          <w:bottom w:w="0" w:type="dxa"/>
          <w:right w:w="0" w:type="dxa"/>
        </w:tblCellMar>
      </w:tblPr>
      <w:tblGrid>
        <w:gridCol w:w="38"/>
        <w:gridCol w:w="110"/>
        <w:gridCol w:w="606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065" w:type="dxa"/>
            <w:tcBorders/>
            <w:vAlign w:val="center"/>
          </w:tcPr>
          <w:p>
            <w:pPr>
              <w:pStyle w:val="TableContents"/>
              <w:bidi w:val="0"/>
              <w:spacing w:before="0" w:after="0"/>
              <w:jc w:val="left"/>
              <w:rPr/>
            </w:pPr>
            <w:r>
              <w:rPr/>
              <w:t>$0.3 million increase in consulting and contractor expenses;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1" w:name="zbf020c1b6ccd40e88fbbc4e5448c137d"/>
      <w:bookmarkStart w:id="162" w:name="zbf020c1b6ccd40e88fbbc4e5448c137d"/>
      <w:bookmarkEnd w:id="162"/>
    </w:p>
    <w:tbl>
      <w:tblPr>
        <w:tblW w:w="5268" w:type="dxa"/>
        <w:jc w:val="left"/>
        <w:tblInd w:w="0" w:type="dxa"/>
        <w:tblLayout w:type="fixed"/>
        <w:tblCellMar>
          <w:top w:w="0" w:type="dxa"/>
          <w:left w:w="0" w:type="dxa"/>
          <w:bottom w:w="0" w:type="dxa"/>
          <w:right w:w="0" w:type="dxa"/>
        </w:tblCellMar>
      </w:tblPr>
      <w:tblGrid>
        <w:gridCol w:w="38"/>
        <w:gridCol w:w="110"/>
        <w:gridCol w:w="51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120" w:type="dxa"/>
            <w:tcBorders/>
            <w:vAlign w:val="center"/>
          </w:tcPr>
          <w:p>
            <w:pPr>
              <w:pStyle w:val="TableContents"/>
              <w:bidi w:val="0"/>
              <w:spacing w:before="0" w:after="0"/>
              <w:jc w:val="left"/>
              <w:rPr/>
            </w:pPr>
            <w:r>
              <w:rPr/>
              <w:t>$48,000 increase in information technology expenses.</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increase was partially offset by:</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63" w:name="zaafe5391755444b890e7b91267dfcfb8"/>
      <w:bookmarkStart w:id="164" w:name="zaafe5391755444b890e7b91267dfcfb8"/>
      <w:bookmarkEnd w:id="164"/>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$0.7 million decrease in direct research and development expenses, primarily due to reduction in clinical trial costs;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5" w:name="z361672bb27d24f6ebe1ca30252295433"/>
      <w:bookmarkStart w:id="166" w:name="z361672bb27d24f6ebe1ca30252295433"/>
      <w:bookmarkEnd w:id="166"/>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$0.6 million decrease in facility, depreciation and amortization expenses, primarily due to lower facilities-related costs, partially offset by increased amortization of leasehold improvements associated with our laboratory facilities;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7" w:name="zc9a4c8544b7c4f7caf8bff995f1d26b3"/>
      <w:bookmarkStart w:id="168" w:name="zc9a4c8544b7c4f7caf8bff995f1d26b3"/>
      <w:bookmarkEnd w:id="168"/>
    </w:p>
    <w:tbl>
      <w:tblPr>
        <w:tblW w:w="3588" w:type="dxa"/>
        <w:jc w:val="left"/>
        <w:tblInd w:w="0" w:type="dxa"/>
        <w:tblLayout w:type="fixed"/>
        <w:tblCellMar>
          <w:top w:w="0" w:type="dxa"/>
          <w:left w:w="0" w:type="dxa"/>
          <w:bottom w:w="0" w:type="dxa"/>
          <w:right w:w="0" w:type="dxa"/>
        </w:tblCellMar>
      </w:tblPr>
      <w:tblGrid>
        <w:gridCol w:w="38"/>
        <w:gridCol w:w="110"/>
        <w:gridCol w:w="34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440" w:type="dxa"/>
            <w:tcBorders/>
            <w:vAlign w:val="center"/>
          </w:tcPr>
          <w:p>
            <w:pPr>
              <w:pStyle w:val="TableContents"/>
              <w:bidi w:val="0"/>
              <w:spacing w:before="0" w:after="0"/>
              <w:jc w:val="left"/>
              <w:rPr/>
            </w:pPr>
            <w:r>
              <w:rPr/>
              <w:t>$28,000 decrease in other expenses.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following table summarizes our research and development expenses for the following periods (in thousands):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69" w:name="zb2c13c156c64415baf6de532b32556e5"/>
      <w:bookmarkStart w:id="170" w:name="zb2c13c156c64415baf6de532b32556e5"/>
      <w:bookmarkEnd w:id="170"/>
    </w:p>
    <w:tbl>
      <w:tblPr>
        <w:tblW w:w="9333" w:type="dxa"/>
        <w:jc w:val="left"/>
        <w:tblInd w:w="0" w:type="dxa"/>
        <w:tblLayout w:type="fixed"/>
        <w:tblCellMar>
          <w:top w:w="0" w:type="dxa"/>
          <w:left w:w="0" w:type="dxa"/>
          <w:bottom w:w="0" w:type="dxa"/>
          <w:right w:w="0" w:type="dxa"/>
        </w:tblCellMar>
      </w:tblPr>
      <w:tblGrid>
        <w:gridCol w:w="4250"/>
        <w:gridCol w:w="60"/>
        <w:gridCol w:w="210"/>
        <w:gridCol w:w="1202"/>
        <w:gridCol w:w="90"/>
        <w:gridCol w:w="90"/>
        <w:gridCol w:w="210"/>
        <w:gridCol w:w="1021"/>
        <w:gridCol w:w="60"/>
        <w:gridCol w:w="60"/>
        <w:gridCol w:w="140"/>
        <w:gridCol w:w="680"/>
        <w:gridCol w:w="95"/>
        <w:gridCol w:w="60"/>
        <w:gridCol w:w="111"/>
        <w:gridCol w:w="704"/>
        <w:gridCol w:w="290"/>
      </w:tblGrid>
      <w:tr>
        <w:trPr/>
        <w:tc>
          <w:tcPr>
            <w:tcW w:w="4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23" w:type="dxa"/>
            <w:gridSpan w:val="6"/>
            <w:tcBorders>
              <w:top w:val="single" w:sz="12" w:space="0" w:color="000000"/>
              <w:bottom w:val="single" w:sz="12" w:space="0" w:color="000000"/>
            </w:tcBorders>
            <w:tcMar>
              <w:top w:w="28" w:type="dxa"/>
              <w:bottom w:w="28" w:type="dxa"/>
            </w:tcMar>
            <w:vAlign w:val="bottom"/>
          </w:tcPr>
          <w:p>
            <w:pPr>
              <w:pStyle w:val="TableContents"/>
              <w:bidi w:val="0"/>
              <w:spacing w:before="0" w:after="0"/>
              <w:jc w:val="center"/>
              <w:rPr>
                <w:b/>
                <w:color w:val="000000"/>
              </w:rPr>
            </w:pPr>
            <w:r>
              <w:rPr>
                <w:b/>
                <w:color w:val="000000"/>
              </w:rPr>
              <w:t>Six Months Ended June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top w:val="single" w:sz="12" w:space="0" w:color="000000"/>
              <w:bottom w:val="single" w:sz="12" w:space="0" w:color="000000"/>
            </w:tcBorders>
            <w:tcMar>
              <w:top w:w="28" w:type="dxa"/>
              <w:bottom w:w="28" w:type="dxa"/>
            </w:tcMar>
            <w:vAlign w:val="bottom"/>
          </w:tcPr>
          <w:p>
            <w:pPr>
              <w:pStyle w:val="TableContents"/>
              <w:bidi w:val="0"/>
              <w:spacing w:before="0" w:after="0"/>
              <w:jc w:val="center"/>
              <w:rPr>
                <w:b/>
                <w:color w:val="000000"/>
              </w:rPr>
            </w:pPr>
            <w:r>
              <w:rPr>
                <w:b/>
                <w:color w:val="000000"/>
              </w:rPr>
              <w:t>Change</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top w:val="single" w:sz="12" w:space="0" w:color="000000"/>
              <w:bottom w:val="single" w:sz="12" w:space="0" w:color="000000"/>
            </w:tcBorders>
            <w:tcMar>
              <w:top w:w="28" w:type="dxa"/>
              <w:bottom w:w="28" w:type="dxa"/>
            </w:tcMar>
            <w:vAlign w:val="bottom"/>
          </w:tcPr>
          <w:p>
            <w:pPr>
              <w:pStyle w:val="TableContents"/>
              <w:bidi w:val="0"/>
              <w:spacing w:before="0" w:after="0"/>
              <w:jc w:val="center"/>
              <w:rPr>
                <w:b/>
                <w:color w:val="000000"/>
              </w:rPr>
            </w:pPr>
            <w:r>
              <w:rPr>
                <w:b/>
                <w:color w:val="000000"/>
              </w:rPr>
              <w:t>Change</w:t>
            </w:r>
          </w:p>
        </w:tc>
        <w:tc>
          <w:tcPr>
            <w:tcW w:w="290" w:type="dxa"/>
            <w:tcBorders/>
            <w:vAlign w:val="bottom"/>
          </w:tcPr>
          <w:p>
            <w:pPr>
              <w:pStyle w:val="TableContents"/>
              <w:bidi w:val="0"/>
              <w:spacing w:before="0" w:after="283"/>
              <w:jc w:val="left"/>
              <w:rPr/>
            </w:pPr>
            <w:r>
              <w:rPr/>
              <w:t> </w:t>
            </w:r>
          </w:p>
        </w:tc>
      </w:tr>
      <w:tr>
        <w:trPr/>
        <w:tc>
          <w:tcPr>
            <w:tcW w:w="42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2"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31"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 w:type="dxa"/>
            <w:tcBorders>
              <w:bottom w:val="single" w:sz="12" w:space="0" w:color="000000"/>
            </w:tcBorders>
            <w:tcMar>
              <w:bottom w:w="28" w:type="dxa"/>
            </w:tcMar>
            <w:vAlign w:val="bottom"/>
          </w:tcPr>
          <w:p>
            <w:pPr>
              <w:pStyle w:val="TableContents"/>
              <w:bidi w:val="0"/>
              <w:spacing w:before="0" w:after="0"/>
              <w:jc w:val="left"/>
              <w:rPr>
                <w:b/>
                <w:color w:val="000000"/>
              </w:rPr>
            </w:pPr>
            <w:r>
              <w:rPr>
                <w:b/>
                <w:color w:val="000000"/>
              </w:rPr>
            </w:r>
          </w:p>
        </w:tc>
        <w:tc>
          <w:tcPr>
            <w:tcW w:w="704" w:type="dxa"/>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t>
            </w:r>
          </w:p>
        </w:tc>
        <w:tc>
          <w:tcPr>
            <w:tcW w:w="290" w:type="dxa"/>
            <w:tcBorders/>
            <w:vAlign w:val="bottom"/>
          </w:tcPr>
          <w:p>
            <w:pPr>
              <w:pStyle w:val="TableContents"/>
              <w:bidi w:val="0"/>
              <w:spacing w:before="0" w:after="283"/>
              <w:jc w:val="left"/>
              <w:rPr/>
            </w:pPr>
            <w:r>
              <w:rPr/>
              <w:t> </w:t>
            </w:r>
          </w:p>
        </w:tc>
      </w:tr>
      <w:tr>
        <w:trPr/>
        <w:tc>
          <w:tcPr>
            <w:tcW w:w="4250" w:type="dxa"/>
            <w:tcBorders/>
            <w:shd w:fill="CCEEFF" w:val="clear"/>
            <w:vAlign w:val="bottom"/>
          </w:tcPr>
          <w:p>
            <w:pPr>
              <w:pStyle w:val="TableContents"/>
              <w:bidi w:val="0"/>
              <w:spacing w:before="0" w:after="0"/>
              <w:jc w:val="left"/>
              <w:rPr>
                <w:color w:val="000000"/>
              </w:rPr>
            </w:pPr>
            <w:r>
              <w:rPr>
                <w:color w:val="000000"/>
              </w:rPr>
              <w:t>Salaries and benefits</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0"/>
              <w:jc w:val="left"/>
              <w:rPr>
                <w:color w:val="000000"/>
              </w:rPr>
            </w:pPr>
            <w:r>
              <w:rPr>
                <w:color w:val="000000"/>
              </w:rPr>
              <w:t>$</w:t>
            </w:r>
          </w:p>
        </w:tc>
        <w:tc>
          <w:tcPr>
            <w:tcW w:w="1202" w:type="dxa"/>
            <w:tcBorders/>
            <w:shd w:fill="CCEEFF" w:val="clear"/>
            <w:vAlign w:val="bottom"/>
          </w:tcPr>
          <w:p>
            <w:pPr>
              <w:pStyle w:val="TableContents"/>
              <w:bidi w:val="0"/>
              <w:spacing w:before="0" w:after="0"/>
              <w:jc w:val="right"/>
              <w:rPr>
                <w:color w:val="000000"/>
              </w:rPr>
            </w:pPr>
            <w:r>
              <w:rPr>
                <w:color w:val="000000"/>
              </w:rPr>
              <w:t>36,616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0"/>
              <w:jc w:val="left"/>
              <w:rPr>
                <w:color w:val="000000"/>
              </w:rPr>
            </w:pPr>
            <w:r>
              <w:rPr>
                <w:color w:val="000000"/>
              </w:rPr>
              <w:t>$</w:t>
            </w:r>
          </w:p>
        </w:tc>
        <w:tc>
          <w:tcPr>
            <w:tcW w:w="1021" w:type="dxa"/>
            <w:tcBorders/>
            <w:shd w:fill="CCEEFF" w:val="clear"/>
            <w:vAlign w:val="bottom"/>
          </w:tcPr>
          <w:p>
            <w:pPr>
              <w:pStyle w:val="TableContents"/>
              <w:bidi w:val="0"/>
              <w:spacing w:before="0" w:after="0"/>
              <w:jc w:val="right"/>
              <w:rPr>
                <w:color w:val="000000"/>
              </w:rPr>
            </w:pPr>
            <w:r>
              <w:rPr>
                <w:color w:val="000000"/>
              </w:rPr>
              <w:t>35,424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80" w:type="dxa"/>
            <w:tcBorders/>
            <w:shd w:fill="CCEEFF" w:val="clear"/>
            <w:vAlign w:val="bottom"/>
          </w:tcPr>
          <w:p>
            <w:pPr>
              <w:pStyle w:val="TableContents"/>
              <w:bidi w:val="0"/>
              <w:spacing w:before="0" w:after="0"/>
              <w:jc w:val="right"/>
              <w:rPr>
                <w:color w:val="000000"/>
              </w:rPr>
            </w:pPr>
            <w:r>
              <w:rPr>
                <w:color w:val="000000"/>
              </w:rPr>
              <w:t>1,192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0"/>
              <w:jc w:val="right"/>
              <w:rPr>
                <w:color w:val="000000"/>
              </w:rPr>
            </w:pPr>
            <w:r>
              <w:rPr>
                <w:color w:val="000000"/>
              </w:rPr>
              <w:t>3</w:t>
            </w:r>
          </w:p>
        </w:tc>
        <w:tc>
          <w:tcPr>
            <w:tcW w:w="290" w:type="dxa"/>
            <w:tcBorders/>
            <w:shd w:fill="CCEEFF" w:val="clear"/>
            <w:vAlign w:val="bottom"/>
          </w:tcPr>
          <w:p>
            <w:pPr>
              <w:pStyle w:val="TableContents"/>
              <w:bidi w:val="0"/>
              <w:spacing w:before="0" w:after="0"/>
              <w:jc w:val="left"/>
              <w:rPr>
                <w:color w:val="000000"/>
              </w:rPr>
            </w:pPr>
            <w:r>
              <w:rPr>
                <w:color w:val="000000"/>
              </w:rPr>
              <w:t>%</w:t>
            </w:r>
          </w:p>
        </w:tc>
      </w:tr>
      <w:tr>
        <w:trPr/>
        <w:tc>
          <w:tcPr>
            <w:tcW w:w="4250" w:type="dxa"/>
            <w:tcBorders/>
            <w:vAlign w:val="bottom"/>
          </w:tcPr>
          <w:p>
            <w:pPr>
              <w:pStyle w:val="TableContents"/>
              <w:bidi w:val="0"/>
              <w:spacing w:before="0" w:after="0"/>
              <w:jc w:val="left"/>
              <w:rPr>
                <w:color w:val="000000"/>
              </w:rPr>
            </w:pPr>
            <w:r>
              <w:rPr>
                <w:color w:val="000000"/>
              </w:rPr>
              <w:t>Facility, depreciation and amortization</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0"/>
              <w:jc w:val="right"/>
              <w:rPr>
                <w:color w:val="000000"/>
              </w:rPr>
            </w:pPr>
            <w:r>
              <w:rPr>
                <w:color w:val="000000"/>
              </w:rPr>
              <w:t>30,676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0"/>
              <w:jc w:val="right"/>
              <w:rPr>
                <w:color w:val="000000"/>
              </w:rPr>
            </w:pPr>
            <w:r>
              <w:rPr>
                <w:color w:val="000000"/>
              </w:rPr>
              <w:t>31,446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color w:val="000000"/>
              </w:rPr>
            </w:pPr>
            <w:r>
              <w:rPr>
                <w:color w:val="000000"/>
              </w:rPr>
              <w:t>(770</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0"/>
              <w:jc w:val="right"/>
              <w:rPr>
                <w:color w:val="000000"/>
              </w:rPr>
            </w:pPr>
            <w:r>
              <w:rPr>
                <w:color w:val="000000"/>
              </w:rPr>
              <w:t>(2</w:t>
            </w:r>
          </w:p>
        </w:tc>
        <w:tc>
          <w:tcPr>
            <w:tcW w:w="290" w:type="dxa"/>
            <w:tcBorders/>
            <w:vAlign w:val="bottom"/>
          </w:tcPr>
          <w:p>
            <w:pPr>
              <w:pStyle w:val="TableContents"/>
              <w:bidi w:val="0"/>
              <w:spacing w:before="0" w:after="0"/>
              <w:jc w:val="left"/>
              <w:rPr>
                <w:color w:val="000000"/>
              </w:rPr>
            </w:pPr>
            <w:r>
              <w:rPr>
                <w:color w:val="000000"/>
              </w:rPr>
              <w:t>)%</w:t>
            </w:r>
          </w:p>
        </w:tc>
      </w:tr>
      <w:tr>
        <w:trPr/>
        <w:tc>
          <w:tcPr>
            <w:tcW w:w="4250" w:type="dxa"/>
            <w:tcBorders/>
            <w:shd w:fill="CCEEFF" w:val="clear"/>
            <w:vAlign w:val="bottom"/>
          </w:tcPr>
          <w:p>
            <w:pPr>
              <w:pStyle w:val="TableContents"/>
              <w:bidi w:val="0"/>
              <w:spacing w:before="0" w:after="0"/>
              <w:jc w:val="left"/>
              <w:rPr>
                <w:color w:val="000000"/>
              </w:rPr>
            </w:pPr>
            <w:r>
              <w:rPr>
                <w:color w:val="000000"/>
              </w:rPr>
              <w:t>Materials, laboratory supplies and equipment</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0"/>
              <w:jc w:val="right"/>
              <w:rPr>
                <w:color w:val="000000"/>
              </w:rPr>
            </w:pPr>
            <w:r>
              <w:rPr>
                <w:color w:val="000000"/>
              </w:rPr>
              <w:t>23,865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0"/>
              <w:jc w:val="right"/>
              <w:rPr>
                <w:color w:val="000000"/>
              </w:rPr>
            </w:pPr>
            <w:r>
              <w:rPr>
                <w:color w:val="000000"/>
              </w:rPr>
              <w:t>9,677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color w:val="000000"/>
              </w:rPr>
            </w:pPr>
            <w:r>
              <w:rPr>
                <w:color w:val="000000"/>
              </w:rPr>
              <w:t>14,188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0"/>
              <w:jc w:val="right"/>
              <w:rPr>
                <w:color w:val="000000"/>
              </w:rPr>
            </w:pPr>
            <w:r>
              <w:rPr>
                <w:color w:val="000000"/>
              </w:rPr>
              <w:t>147</w:t>
            </w:r>
          </w:p>
        </w:tc>
        <w:tc>
          <w:tcPr>
            <w:tcW w:w="290" w:type="dxa"/>
            <w:tcBorders/>
            <w:shd w:fill="CCEEFF" w:val="clear"/>
            <w:vAlign w:val="bottom"/>
          </w:tcPr>
          <w:p>
            <w:pPr>
              <w:pStyle w:val="TableContents"/>
              <w:bidi w:val="0"/>
              <w:spacing w:before="0" w:after="0"/>
              <w:jc w:val="left"/>
              <w:rPr>
                <w:color w:val="000000"/>
              </w:rPr>
            </w:pPr>
            <w:r>
              <w:rPr>
                <w:color w:val="000000"/>
              </w:rPr>
              <w:t>%</w:t>
            </w:r>
          </w:p>
        </w:tc>
      </w:tr>
      <w:tr>
        <w:trPr/>
        <w:tc>
          <w:tcPr>
            <w:tcW w:w="4250" w:type="dxa"/>
            <w:tcBorders/>
            <w:vAlign w:val="bottom"/>
          </w:tcPr>
          <w:p>
            <w:pPr>
              <w:pStyle w:val="TableContents"/>
              <w:bidi w:val="0"/>
              <w:spacing w:before="0" w:after="0"/>
              <w:jc w:val="left"/>
              <w:rPr>
                <w:color w:val="000000"/>
              </w:rPr>
            </w:pPr>
            <w:r>
              <w:rPr>
                <w:color w:val="000000"/>
              </w:rPr>
              <w:t>Information technology</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0"/>
              <w:jc w:val="right"/>
              <w:rPr>
                <w:color w:val="000000"/>
              </w:rPr>
            </w:pPr>
            <w:r>
              <w:rPr>
                <w:color w:val="000000"/>
              </w:rPr>
              <w:t>5,910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0"/>
              <w:jc w:val="right"/>
              <w:rPr>
                <w:color w:val="000000"/>
              </w:rPr>
            </w:pPr>
            <w:r>
              <w:rPr>
                <w:color w:val="000000"/>
              </w:rPr>
              <w:t>5,967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color w:val="000000"/>
              </w:rPr>
            </w:pPr>
            <w:r>
              <w:rPr>
                <w:color w:val="000000"/>
              </w:rPr>
              <w:t>(57</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0"/>
              <w:jc w:val="right"/>
              <w:rPr>
                <w:color w:val="000000"/>
              </w:rPr>
            </w:pPr>
            <w:r>
              <w:rPr>
                <w:color w:val="000000"/>
              </w:rPr>
              <w:t>(1</w:t>
            </w:r>
          </w:p>
        </w:tc>
        <w:tc>
          <w:tcPr>
            <w:tcW w:w="290" w:type="dxa"/>
            <w:tcBorders/>
            <w:vAlign w:val="bottom"/>
          </w:tcPr>
          <w:p>
            <w:pPr>
              <w:pStyle w:val="TableContents"/>
              <w:bidi w:val="0"/>
              <w:spacing w:before="0" w:after="0"/>
              <w:jc w:val="left"/>
              <w:rPr>
                <w:color w:val="000000"/>
              </w:rPr>
            </w:pPr>
            <w:r>
              <w:rPr>
                <w:color w:val="000000"/>
              </w:rPr>
              <w:t>)%</w:t>
            </w:r>
          </w:p>
        </w:tc>
      </w:tr>
      <w:tr>
        <w:trPr/>
        <w:tc>
          <w:tcPr>
            <w:tcW w:w="4250" w:type="dxa"/>
            <w:tcBorders/>
            <w:shd w:fill="CCEEFF" w:val="clear"/>
            <w:vAlign w:val="bottom"/>
          </w:tcPr>
          <w:p>
            <w:pPr>
              <w:pStyle w:val="TableContents"/>
              <w:bidi w:val="0"/>
              <w:spacing w:before="0" w:after="0"/>
              <w:jc w:val="left"/>
              <w:rPr>
                <w:color w:val="000000"/>
              </w:rPr>
            </w:pPr>
            <w:r>
              <w:rPr>
                <w:color w:val="000000"/>
              </w:rPr>
              <w:t>Direct research and development costs</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0"/>
              <w:jc w:val="right"/>
              <w:rPr>
                <w:color w:val="000000"/>
              </w:rPr>
            </w:pPr>
            <w:r>
              <w:rPr>
                <w:color w:val="000000"/>
              </w:rPr>
              <w:t>4,113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0"/>
              <w:jc w:val="right"/>
              <w:rPr>
                <w:color w:val="000000"/>
              </w:rPr>
            </w:pPr>
            <w:r>
              <w:rPr>
                <w:color w:val="000000"/>
              </w:rPr>
              <w:t>6,717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color w:val="000000"/>
              </w:rPr>
            </w:pPr>
            <w:r>
              <w:rPr>
                <w:color w:val="000000"/>
              </w:rPr>
              <w:t>(2,604</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0"/>
              <w:jc w:val="right"/>
              <w:rPr>
                <w:color w:val="000000"/>
              </w:rPr>
            </w:pPr>
            <w:r>
              <w:rPr>
                <w:color w:val="000000"/>
              </w:rPr>
              <w:t>(39</w:t>
            </w:r>
          </w:p>
        </w:tc>
        <w:tc>
          <w:tcPr>
            <w:tcW w:w="290" w:type="dxa"/>
            <w:tcBorders/>
            <w:shd w:fill="CCEEFF" w:val="clear"/>
            <w:vAlign w:val="bottom"/>
          </w:tcPr>
          <w:p>
            <w:pPr>
              <w:pStyle w:val="TableContents"/>
              <w:bidi w:val="0"/>
              <w:spacing w:before="0" w:after="0"/>
              <w:jc w:val="left"/>
              <w:rPr>
                <w:color w:val="000000"/>
              </w:rPr>
            </w:pPr>
            <w:r>
              <w:rPr>
                <w:color w:val="000000"/>
              </w:rPr>
              <w:t>)%</w:t>
            </w:r>
          </w:p>
        </w:tc>
      </w:tr>
      <w:tr>
        <w:trPr/>
        <w:tc>
          <w:tcPr>
            <w:tcW w:w="4250" w:type="dxa"/>
            <w:tcBorders/>
            <w:vAlign w:val="bottom"/>
          </w:tcPr>
          <w:p>
            <w:pPr>
              <w:pStyle w:val="TableContents"/>
              <w:bidi w:val="0"/>
              <w:spacing w:before="0" w:after="0"/>
              <w:jc w:val="left"/>
              <w:rPr>
                <w:color w:val="000000"/>
              </w:rPr>
            </w:pPr>
            <w:r>
              <w:rPr>
                <w:color w:val="000000"/>
              </w:rPr>
              <w:t>Stock-based compensation</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0"/>
              <w:jc w:val="right"/>
              <w:rPr>
                <w:color w:val="000000"/>
              </w:rPr>
            </w:pPr>
            <w:r>
              <w:rPr>
                <w:color w:val="000000"/>
              </w:rPr>
              <w:t>2,600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0"/>
              <w:jc w:val="right"/>
              <w:rPr>
                <w:color w:val="000000"/>
              </w:rPr>
            </w:pPr>
            <w:r>
              <w:rPr>
                <w:color w:val="000000"/>
              </w:rPr>
              <w:t>2,701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color w:val="000000"/>
              </w:rPr>
            </w:pPr>
            <w:r>
              <w:rPr>
                <w:color w:val="000000"/>
              </w:rPr>
              <w:t>(101</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0"/>
              <w:jc w:val="right"/>
              <w:rPr>
                <w:color w:val="000000"/>
              </w:rPr>
            </w:pPr>
            <w:r>
              <w:rPr>
                <w:color w:val="000000"/>
              </w:rPr>
              <w:t>(4</w:t>
            </w:r>
          </w:p>
        </w:tc>
        <w:tc>
          <w:tcPr>
            <w:tcW w:w="290" w:type="dxa"/>
            <w:tcBorders/>
            <w:vAlign w:val="bottom"/>
          </w:tcPr>
          <w:p>
            <w:pPr>
              <w:pStyle w:val="TableContents"/>
              <w:bidi w:val="0"/>
              <w:spacing w:before="0" w:after="0"/>
              <w:jc w:val="left"/>
              <w:rPr>
                <w:color w:val="000000"/>
              </w:rPr>
            </w:pPr>
            <w:r>
              <w:rPr>
                <w:color w:val="000000"/>
              </w:rPr>
              <w:t>)%</w:t>
            </w:r>
          </w:p>
        </w:tc>
      </w:tr>
      <w:tr>
        <w:trPr/>
        <w:tc>
          <w:tcPr>
            <w:tcW w:w="4250" w:type="dxa"/>
            <w:tcBorders/>
            <w:shd w:fill="CCEEFF" w:val="clear"/>
            <w:vAlign w:val="bottom"/>
          </w:tcPr>
          <w:p>
            <w:pPr>
              <w:pStyle w:val="TableContents"/>
              <w:bidi w:val="0"/>
              <w:spacing w:before="0" w:after="0"/>
              <w:jc w:val="left"/>
              <w:rPr>
                <w:color w:val="000000"/>
              </w:rPr>
            </w:pPr>
            <w:r>
              <w:rPr>
                <w:color w:val="000000"/>
              </w:rPr>
              <w:t>Consulting and contractor</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0"/>
              <w:jc w:val="right"/>
              <w:rPr>
                <w:color w:val="000000"/>
              </w:rPr>
            </w:pPr>
            <w:r>
              <w:rPr>
                <w:color w:val="000000"/>
              </w:rPr>
              <w:t>2,054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0"/>
              <w:jc w:val="right"/>
              <w:rPr>
                <w:color w:val="000000"/>
              </w:rPr>
            </w:pPr>
            <w:r>
              <w:rPr>
                <w:color w:val="000000"/>
              </w:rPr>
              <w:t>2,252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color w:val="000000"/>
              </w:rPr>
            </w:pPr>
            <w:r>
              <w:rPr>
                <w:color w:val="000000"/>
              </w:rPr>
              <w:t>(198</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0"/>
              <w:jc w:val="right"/>
              <w:rPr>
                <w:color w:val="000000"/>
              </w:rPr>
            </w:pPr>
            <w:r>
              <w:rPr>
                <w:color w:val="000000"/>
              </w:rPr>
              <w:t>(9</w:t>
            </w:r>
          </w:p>
        </w:tc>
        <w:tc>
          <w:tcPr>
            <w:tcW w:w="290" w:type="dxa"/>
            <w:tcBorders/>
            <w:shd w:fill="CCEEFF" w:val="clear"/>
            <w:vAlign w:val="bottom"/>
          </w:tcPr>
          <w:p>
            <w:pPr>
              <w:pStyle w:val="TableContents"/>
              <w:bidi w:val="0"/>
              <w:spacing w:before="0" w:after="0"/>
              <w:jc w:val="left"/>
              <w:rPr>
                <w:color w:val="000000"/>
              </w:rPr>
            </w:pPr>
            <w:r>
              <w:rPr>
                <w:color w:val="000000"/>
              </w:rPr>
              <w:t>)%</w:t>
            </w:r>
          </w:p>
        </w:tc>
      </w:tr>
      <w:tr>
        <w:trPr/>
        <w:tc>
          <w:tcPr>
            <w:tcW w:w="4250" w:type="dxa"/>
            <w:tcBorders/>
            <w:vAlign w:val="bottom"/>
          </w:tcPr>
          <w:p>
            <w:pPr>
              <w:pStyle w:val="TableContents"/>
              <w:bidi w:val="0"/>
              <w:spacing w:before="0" w:after="0"/>
              <w:jc w:val="left"/>
              <w:rPr>
                <w:color w:val="000000"/>
              </w:rPr>
            </w:pPr>
            <w:r>
              <w:rPr>
                <w:color w:val="000000"/>
              </w:rPr>
              <w:t>Other</w:t>
            </w:r>
          </w:p>
        </w:tc>
        <w:tc>
          <w:tcPr>
            <w:tcW w:w="60" w:type="dxa"/>
            <w:tcBorders/>
            <w:vAlign w:val="bottom"/>
          </w:tcPr>
          <w:p>
            <w:pPr>
              <w:pStyle w:val="TableContents"/>
              <w:bidi w:val="0"/>
              <w:spacing w:before="0" w:after="283"/>
              <w:jc w:val="left"/>
              <w:rPr/>
            </w:pPr>
            <w:r>
              <w:rPr/>
              <w:t> </w:t>
            </w:r>
          </w:p>
        </w:tc>
        <w:tc>
          <w:tcPr>
            <w:tcW w:w="21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0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553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681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(128</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11" w:type="dxa"/>
            <w:tcBorders>
              <w:bottom w:val="single" w:sz="12" w:space="0" w:color="000000"/>
            </w:tcBorders>
            <w:tcMar>
              <w:bottom w:w="28" w:type="dxa"/>
            </w:tcMar>
            <w:vAlign w:val="bottom"/>
          </w:tcPr>
          <w:p>
            <w:pPr>
              <w:pStyle w:val="TableContents"/>
              <w:bidi w:val="0"/>
              <w:spacing w:before="0" w:after="283"/>
              <w:jc w:val="left"/>
              <w:rPr/>
            </w:pPr>
            <w:r>
              <w:rPr/>
              <w:t> </w:t>
            </w:r>
          </w:p>
        </w:tc>
        <w:tc>
          <w:tcPr>
            <w:tcW w:w="70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(19</w:t>
            </w:r>
          </w:p>
        </w:tc>
        <w:tc>
          <w:tcPr>
            <w:tcW w:w="290" w:type="dxa"/>
            <w:tcBorders/>
            <w:vAlign w:val="bottom"/>
          </w:tcPr>
          <w:p>
            <w:pPr>
              <w:pStyle w:val="TableContents"/>
              <w:bidi w:val="0"/>
              <w:spacing w:before="0" w:after="0"/>
              <w:jc w:val="left"/>
              <w:rPr>
                <w:color w:val="000000"/>
              </w:rPr>
            </w:pPr>
            <w:r>
              <w:rPr>
                <w:color w:val="000000"/>
              </w:rPr>
              <w:t>)%</w:t>
            </w:r>
          </w:p>
        </w:tc>
      </w:tr>
      <w:tr>
        <w:trPr/>
        <w:tc>
          <w:tcPr>
            <w:tcW w:w="42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02"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106,387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1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21"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94,865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8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11,522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04"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12</w:t>
            </w:r>
          </w:p>
        </w:tc>
        <w:tc>
          <w:tcPr>
            <w:tcW w:w="290"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Research and development expenses increased by $11.5 million, from $94.9 million for the six months ended June 30, 2025, to $106.4 million for the six months ended June 30, 2026.</w:t>
      </w:r>
    </w:p>
    <w:p>
      <w:pPr>
        <w:pStyle w:val="TextBody"/>
        <w:bidi w:val="0"/>
        <w:spacing w:before="0" w:after="0"/>
        <w:jc w:val="left"/>
        <w:rPr>
          <w:color w:val="000000"/>
        </w:rPr>
      </w:pPr>
      <w:r>
        <w:rPr>
          <w:color w:val="000000"/>
        </w:rPr>
        <w:t>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increase was primarily attributable to:</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71" w:name="zf37981cf58dc41e3b0d09a10ab25690c"/>
      <w:bookmarkStart w:id="172" w:name="zf37981cf58dc41e3b0d09a10ab25690c"/>
      <w:bookmarkEnd w:id="172"/>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$14.2 million increase in materials, laboratory supplies and equipment expenses, mainly due to increased raw material purchases associated with the commencement of EAP testing in early 2026 to operationalize the end-to-end commercial workflow for the CRC test, as well as increased spending on development projects;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73" w:name="z42df96d5f0664c73a4c5fb4ce6b8e5e1"/>
      <w:bookmarkStart w:id="174" w:name="z42df96d5f0664c73a4c5fb4ce6b8e5e1"/>
      <w:bookmarkEnd w:id="174"/>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$1.1 million increase in personnel-related expenses, including salaries, benefits and stock-based compensation, primarily driven by higher salaries, bonus expense and other payroll-related costs resulting from additional corporate employees, partially offset by a decrease in stock-based compensation.</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increase was partially offset by:</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75" w:name="z447f75a938b04f8e9f8d213c0e90dd31"/>
      <w:bookmarkStart w:id="176" w:name="z447f75a938b04f8e9f8d213c0e90dd31"/>
      <w:bookmarkEnd w:id="176"/>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$2.6 million decrease in direct research and development expenses, primarily due to lower clinical trial costs;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77" w:name="z8d9c2ea762c54634ab387a510a9cb26d"/>
      <w:bookmarkStart w:id="178" w:name="z8d9c2ea762c54634ab387a510a9cb26d"/>
      <w:bookmarkEnd w:id="178"/>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$0.8 million decrease in facility, depreciation and amortization expenses, primarily due to lower facilities-related costs, partially offset by increased amortization of leasehold improvements associated with our laboratory facilities;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79" w:name="zc1a0ce65fb27435fbe03ea89a8acaba2"/>
      <w:bookmarkStart w:id="180" w:name="zc1a0ce65fb27435fbe03ea89a8acaba2"/>
      <w:bookmarkEnd w:id="180"/>
    </w:p>
    <w:tbl>
      <w:tblPr>
        <w:tblW w:w="5853" w:type="dxa"/>
        <w:jc w:val="left"/>
        <w:tblInd w:w="0" w:type="dxa"/>
        <w:tblLayout w:type="fixed"/>
        <w:tblCellMar>
          <w:top w:w="0" w:type="dxa"/>
          <w:left w:w="0" w:type="dxa"/>
          <w:bottom w:w="0" w:type="dxa"/>
          <w:right w:w="0" w:type="dxa"/>
        </w:tblCellMar>
      </w:tblPr>
      <w:tblGrid>
        <w:gridCol w:w="38"/>
        <w:gridCol w:w="110"/>
        <w:gridCol w:w="570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705" w:type="dxa"/>
            <w:tcBorders/>
            <w:vAlign w:val="center"/>
          </w:tcPr>
          <w:p>
            <w:pPr>
              <w:pStyle w:val="TableContents"/>
              <w:bidi w:val="0"/>
              <w:spacing w:before="0" w:after="0"/>
              <w:jc w:val="left"/>
              <w:rPr/>
            </w:pPr>
            <w:r>
              <w:rPr/>
              <w:t>$0.2 million decrease in consulting and contractor expenses;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1" w:name="z614d763e80af4d858e0b0b1ec5be633f"/>
      <w:bookmarkStart w:id="182" w:name="z614d763e80af4d858e0b0b1ec5be633f"/>
      <w:bookmarkEnd w:id="182"/>
    </w:p>
    <w:tbl>
      <w:tblPr>
        <w:tblW w:w="4353" w:type="dxa"/>
        <w:jc w:val="left"/>
        <w:tblInd w:w="0" w:type="dxa"/>
        <w:tblLayout w:type="fixed"/>
        <w:tblCellMar>
          <w:top w:w="0" w:type="dxa"/>
          <w:left w:w="0" w:type="dxa"/>
          <w:bottom w:w="0" w:type="dxa"/>
          <w:right w:w="0" w:type="dxa"/>
        </w:tblCellMar>
      </w:tblPr>
      <w:tblGrid>
        <w:gridCol w:w="38"/>
        <w:gridCol w:w="110"/>
        <w:gridCol w:w="420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205" w:type="dxa"/>
            <w:tcBorders/>
            <w:vAlign w:val="center"/>
          </w:tcPr>
          <w:p>
            <w:pPr>
              <w:pStyle w:val="TableContents"/>
              <w:bidi w:val="0"/>
              <w:spacing w:before="0" w:after="0"/>
              <w:jc w:val="left"/>
              <w:rPr/>
            </w:pPr>
            <w:r>
              <w:rPr/>
              <w:t>$0.1 million decrease in other expenses;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3" w:name="z47576018eccf4bacbd100c082282db87"/>
      <w:bookmarkStart w:id="184" w:name="z47576018eccf4bacbd100c082282db87"/>
      <w:bookmarkEnd w:id="184"/>
    </w:p>
    <w:tbl>
      <w:tblPr>
        <w:tblW w:w="5313" w:type="dxa"/>
        <w:jc w:val="left"/>
        <w:tblInd w:w="0" w:type="dxa"/>
        <w:tblLayout w:type="fixed"/>
        <w:tblCellMar>
          <w:top w:w="0" w:type="dxa"/>
          <w:left w:w="0" w:type="dxa"/>
          <w:bottom w:w="0" w:type="dxa"/>
          <w:right w:w="0" w:type="dxa"/>
        </w:tblCellMar>
      </w:tblPr>
      <w:tblGrid>
        <w:gridCol w:w="38"/>
        <w:gridCol w:w="110"/>
        <w:gridCol w:w="516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165" w:type="dxa"/>
            <w:tcBorders/>
            <w:vAlign w:val="center"/>
          </w:tcPr>
          <w:p>
            <w:pPr>
              <w:pStyle w:val="TableContents"/>
              <w:bidi w:val="0"/>
              <w:spacing w:before="0" w:after="0"/>
              <w:jc w:val="left"/>
              <w:rPr/>
            </w:pPr>
            <w:r>
              <w:rPr/>
              <w:t>$57,000 decrease in information technology expenses.</w:t>
            </w:r>
          </w:p>
        </w:tc>
      </w:tr>
    </w:tbl>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following table summarizes our general and administrative expenses for the following periods (in thousands):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85" w:name="z159377b123c349adaeb45822821c3a39"/>
      <w:bookmarkStart w:id="186" w:name="z159377b123c349adaeb45822821c3a39"/>
      <w:bookmarkEnd w:id="186"/>
    </w:p>
    <w:tbl>
      <w:tblPr>
        <w:tblW w:w="9042" w:type="dxa"/>
        <w:jc w:val="left"/>
        <w:tblInd w:w="0" w:type="dxa"/>
        <w:tblLayout w:type="fixed"/>
        <w:tblCellMar>
          <w:top w:w="0" w:type="dxa"/>
          <w:left w:w="0" w:type="dxa"/>
          <w:bottom w:w="0" w:type="dxa"/>
          <w:right w:w="0" w:type="dxa"/>
        </w:tblCellMar>
      </w:tblPr>
      <w:tblGrid>
        <w:gridCol w:w="3650"/>
        <w:gridCol w:w="60"/>
        <w:gridCol w:w="248"/>
        <w:gridCol w:w="1207"/>
        <w:gridCol w:w="106"/>
        <w:gridCol w:w="106"/>
        <w:gridCol w:w="248"/>
        <w:gridCol w:w="1207"/>
        <w:gridCol w:w="60"/>
        <w:gridCol w:w="60"/>
        <w:gridCol w:w="147"/>
        <w:gridCol w:w="668"/>
        <w:gridCol w:w="95"/>
        <w:gridCol w:w="60"/>
        <w:gridCol w:w="123"/>
        <w:gridCol w:w="692"/>
        <w:gridCol w:w="305"/>
      </w:tblGrid>
      <w:tr>
        <w:trPr/>
        <w:tc>
          <w:tcPr>
            <w:tcW w:w="36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22" w:type="dxa"/>
            <w:gridSpan w:val="6"/>
            <w:tcBorders>
              <w:top w:val="single" w:sz="12" w:space="0" w:color="000000"/>
              <w:bottom w:val="single" w:sz="12" w:space="0" w:color="000000"/>
            </w:tcBorders>
            <w:tcMar>
              <w:top w:w="28" w:type="dxa"/>
              <w:bottom w:w="28" w:type="dxa"/>
            </w:tcMar>
            <w:vAlign w:val="bottom"/>
          </w:tcPr>
          <w:p>
            <w:pPr>
              <w:pStyle w:val="TableContents"/>
              <w:bidi w:val="0"/>
              <w:spacing w:before="0" w:after="0"/>
              <w:jc w:val="center"/>
              <w:rPr>
                <w:b/>
                <w:color w:val="000000"/>
              </w:rPr>
            </w:pPr>
            <w:r>
              <w:rPr>
                <w:b/>
                <w:color w:val="000000"/>
              </w:rPr>
              <w:t>Three Months Ended June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top w:val="single" w:sz="12" w:space="0" w:color="000000"/>
              <w:bottom w:val="single" w:sz="12" w:space="0" w:color="000000"/>
            </w:tcBorders>
            <w:tcMar>
              <w:top w:w="28" w:type="dxa"/>
              <w:bottom w:w="28" w:type="dxa"/>
            </w:tcMar>
            <w:vAlign w:val="bottom"/>
          </w:tcPr>
          <w:p>
            <w:pPr>
              <w:pStyle w:val="TableContents"/>
              <w:bidi w:val="0"/>
              <w:spacing w:before="0" w:after="0"/>
              <w:jc w:val="center"/>
              <w:rPr>
                <w:b/>
                <w:color w:val="000000"/>
              </w:rPr>
            </w:pPr>
            <w:r>
              <w:rPr>
                <w:b/>
                <w:color w:val="000000"/>
              </w:rPr>
              <w:t>Change</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top w:val="single" w:sz="12" w:space="0" w:color="000000"/>
              <w:bottom w:val="single" w:sz="12" w:space="0" w:color="000000"/>
            </w:tcBorders>
            <w:tcMar>
              <w:top w:w="28" w:type="dxa"/>
              <w:bottom w:w="28" w:type="dxa"/>
            </w:tcMar>
            <w:vAlign w:val="bottom"/>
          </w:tcPr>
          <w:p>
            <w:pPr>
              <w:pStyle w:val="TableContents"/>
              <w:bidi w:val="0"/>
              <w:spacing w:before="0" w:after="0"/>
              <w:jc w:val="center"/>
              <w:rPr>
                <w:b/>
                <w:color w:val="000000"/>
              </w:rPr>
            </w:pPr>
            <w:r>
              <w:rPr>
                <w:b/>
                <w:color w:val="000000"/>
              </w:rPr>
              <w:t>Change</w:t>
            </w:r>
          </w:p>
        </w:tc>
        <w:tc>
          <w:tcPr>
            <w:tcW w:w="305" w:type="dxa"/>
            <w:tcBorders/>
            <w:vAlign w:val="bottom"/>
          </w:tcPr>
          <w:p>
            <w:pPr>
              <w:pStyle w:val="TableContents"/>
              <w:bidi w:val="0"/>
              <w:spacing w:before="0" w:after="283"/>
              <w:jc w:val="left"/>
              <w:rPr/>
            </w:pPr>
            <w:r>
              <w:rPr/>
              <w:t> </w:t>
            </w:r>
          </w:p>
        </w:tc>
      </w:tr>
      <w:tr>
        <w:trPr/>
        <w:tc>
          <w:tcPr>
            <w:tcW w:w="36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106"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5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bottom"/>
          </w:tcPr>
          <w:p>
            <w:pPr>
              <w:pStyle w:val="TableContents"/>
              <w:bidi w:val="0"/>
              <w:spacing w:before="0" w:after="283"/>
              <w:jc w:val="center"/>
              <w:rPr/>
            </w:pPr>
            <w:r>
              <w:rPr/>
              <w:t> </w:t>
            </w:r>
            <w:r>
              <w:rPr>
                <w:b/>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3" w:type="dxa"/>
            <w:tcBorders>
              <w:bottom w:val="single" w:sz="12" w:space="0" w:color="000000"/>
            </w:tcBorders>
            <w:tcMar>
              <w:bottom w:w="28" w:type="dxa"/>
            </w:tcMar>
            <w:vAlign w:val="bottom"/>
          </w:tcPr>
          <w:p>
            <w:pPr>
              <w:pStyle w:val="TableContents"/>
              <w:bidi w:val="0"/>
              <w:spacing w:before="0" w:after="0"/>
              <w:jc w:val="left"/>
              <w:rPr>
                <w:b/>
                <w:color w:val="000000"/>
              </w:rPr>
            </w:pPr>
            <w:r>
              <w:rPr>
                <w:b/>
                <w:color w:val="000000"/>
              </w:rPr>
            </w:r>
          </w:p>
        </w:tc>
        <w:tc>
          <w:tcPr>
            <w:tcW w:w="692" w:type="dxa"/>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t>
            </w:r>
          </w:p>
        </w:tc>
        <w:tc>
          <w:tcPr>
            <w:tcW w:w="305" w:type="dxa"/>
            <w:tcBorders/>
            <w:vAlign w:val="bottom"/>
          </w:tcPr>
          <w:p>
            <w:pPr>
              <w:pStyle w:val="TableContents"/>
              <w:bidi w:val="0"/>
              <w:spacing w:before="0" w:after="283"/>
              <w:jc w:val="left"/>
              <w:rPr/>
            </w:pPr>
            <w:r>
              <w:rPr/>
              <w:t> </w:t>
            </w:r>
          </w:p>
        </w:tc>
      </w:tr>
      <w:tr>
        <w:trPr/>
        <w:tc>
          <w:tcPr>
            <w:tcW w:w="3650" w:type="dxa"/>
            <w:tcBorders/>
            <w:shd w:fill="CCEEFF" w:val="clear"/>
            <w:vAlign w:val="bottom"/>
          </w:tcPr>
          <w:p>
            <w:pPr>
              <w:pStyle w:val="TableContents"/>
              <w:bidi w:val="0"/>
              <w:spacing w:before="0" w:after="0"/>
              <w:jc w:val="left"/>
              <w:rPr>
                <w:color w:val="000000"/>
              </w:rPr>
            </w:pPr>
            <w:r>
              <w:rPr>
                <w:color w:val="000000"/>
              </w:rPr>
              <w:t>Salaries and benefits</w:t>
            </w:r>
          </w:p>
        </w:tc>
        <w:tc>
          <w:tcPr>
            <w:tcW w:w="60" w:type="dxa"/>
            <w:tcBorders/>
            <w:shd w:fill="CCEEFF" w:val="clear"/>
            <w:vAlign w:val="bottom"/>
          </w:tcPr>
          <w:p>
            <w:pPr>
              <w:pStyle w:val="TableContents"/>
              <w:bidi w:val="0"/>
              <w:spacing w:before="0" w:after="283"/>
              <w:jc w:val="right"/>
              <w:rPr/>
            </w:pPr>
            <w:r>
              <w:rPr/>
              <w:t> </w:t>
            </w:r>
          </w:p>
        </w:tc>
        <w:tc>
          <w:tcPr>
            <w:tcW w:w="248" w:type="dxa"/>
            <w:tcBorders/>
            <w:shd w:fill="CCEEFF" w:val="clear"/>
            <w:vAlign w:val="bottom"/>
          </w:tcPr>
          <w:p>
            <w:pPr>
              <w:pStyle w:val="TableContents"/>
              <w:bidi w:val="0"/>
              <w:spacing w:before="0" w:after="0"/>
              <w:jc w:val="left"/>
              <w:rPr>
                <w:color w:val="000000"/>
              </w:rPr>
            </w:pPr>
            <w:r>
              <w:rPr>
                <w:color w:val="000000"/>
              </w:rPr>
              <w:t>$</w:t>
            </w:r>
          </w:p>
        </w:tc>
        <w:tc>
          <w:tcPr>
            <w:tcW w:w="1207" w:type="dxa"/>
            <w:tcBorders/>
            <w:shd w:fill="CCEEFF" w:val="clear"/>
            <w:vAlign w:val="bottom"/>
          </w:tcPr>
          <w:p>
            <w:pPr>
              <w:pStyle w:val="TableContents"/>
              <w:bidi w:val="0"/>
              <w:spacing w:before="0" w:after="0"/>
              <w:jc w:val="right"/>
              <w:rPr>
                <w:color w:val="000000"/>
              </w:rPr>
            </w:pPr>
            <w:r>
              <w:rPr>
                <w:color w:val="000000"/>
              </w:rPr>
              <w:t>6,446</w:t>
            </w:r>
          </w:p>
        </w:tc>
        <w:tc>
          <w:tcPr>
            <w:tcW w:w="106"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right"/>
              <w:rPr/>
            </w:pPr>
            <w:r>
              <w:rPr/>
              <w:t> </w:t>
            </w:r>
          </w:p>
        </w:tc>
        <w:tc>
          <w:tcPr>
            <w:tcW w:w="248" w:type="dxa"/>
            <w:tcBorders/>
            <w:shd w:fill="CCEEFF" w:val="clear"/>
            <w:vAlign w:val="bottom"/>
          </w:tcPr>
          <w:p>
            <w:pPr>
              <w:pStyle w:val="TableContents"/>
              <w:bidi w:val="0"/>
              <w:spacing w:before="0" w:after="0"/>
              <w:jc w:val="left"/>
              <w:rPr>
                <w:color w:val="000000"/>
              </w:rPr>
            </w:pPr>
            <w:r>
              <w:rPr>
                <w:color w:val="000000"/>
              </w:rPr>
              <w:t>$</w:t>
            </w:r>
          </w:p>
        </w:tc>
        <w:tc>
          <w:tcPr>
            <w:tcW w:w="1207" w:type="dxa"/>
            <w:tcBorders/>
            <w:shd w:fill="CCEEFF" w:val="clear"/>
            <w:vAlign w:val="bottom"/>
          </w:tcPr>
          <w:p>
            <w:pPr>
              <w:pStyle w:val="TableContents"/>
              <w:bidi w:val="0"/>
              <w:spacing w:before="0" w:after="0"/>
              <w:jc w:val="right"/>
              <w:rPr>
                <w:color w:val="000000"/>
              </w:rPr>
            </w:pPr>
            <w:r>
              <w:rPr>
                <w:color w:val="000000"/>
              </w:rPr>
              <w:t>6,448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0"/>
              <w:jc w:val="left"/>
              <w:rPr>
                <w:color w:val="000000"/>
              </w:rPr>
            </w:pPr>
            <w:r>
              <w:rPr>
                <w:color w:val="000000"/>
              </w:rPr>
              <w:t>$</w:t>
            </w:r>
          </w:p>
        </w:tc>
        <w:tc>
          <w:tcPr>
            <w:tcW w:w="668" w:type="dxa"/>
            <w:tcBorders/>
            <w:shd w:fill="CCEEFF" w:val="clear"/>
            <w:vAlign w:val="bottom"/>
          </w:tcPr>
          <w:p>
            <w:pPr>
              <w:pStyle w:val="TableContents"/>
              <w:bidi w:val="0"/>
              <w:spacing w:before="0" w:after="0"/>
              <w:jc w:val="right"/>
              <w:rPr>
                <w:color w:val="000000"/>
              </w:rPr>
            </w:pPr>
            <w:r>
              <w:rPr>
                <w:color w:val="000000"/>
              </w:rPr>
              <w:t>(2</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2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color w:val="000000"/>
              </w:rPr>
            </w:pPr>
            <w:r>
              <w:rPr>
                <w:color w:val="000000"/>
              </w:rPr>
              <w:t>—</w:t>
            </w:r>
          </w:p>
        </w:tc>
        <w:tc>
          <w:tcPr>
            <w:tcW w:w="305" w:type="dxa"/>
            <w:tcBorders/>
            <w:shd w:fill="CCEEFF" w:val="clear"/>
            <w:vAlign w:val="bottom"/>
          </w:tcPr>
          <w:p>
            <w:pPr>
              <w:pStyle w:val="TableContents"/>
              <w:bidi w:val="0"/>
              <w:spacing w:before="0" w:after="0"/>
              <w:jc w:val="left"/>
              <w:rPr>
                <w:color w:val="000000"/>
              </w:rPr>
            </w:pPr>
            <w:r>
              <w:rPr>
                <w:color w:val="000000"/>
              </w:rPr>
              <w:t>%</w:t>
            </w:r>
          </w:p>
        </w:tc>
      </w:tr>
      <w:tr>
        <w:trPr/>
        <w:tc>
          <w:tcPr>
            <w:tcW w:w="3650" w:type="dxa"/>
            <w:tcBorders/>
            <w:vAlign w:val="bottom"/>
          </w:tcPr>
          <w:p>
            <w:pPr>
              <w:pStyle w:val="TableContents"/>
              <w:bidi w:val="0"/>
              <w:spacing w:before="0" w:after="0"/>
              <w:jc w:val="left"/>
              <w:rPr>
                <w:color w:val="000000"/>
              </w:rPr>
            </w:pPr>
            <w:r>
              <w:rPr>
                <w:color w:val="000000"/>
              </w:rPr>
              <w:t>Consulting and contractor</w:t>
            </w:r>
          </w:p>
        </w:tc>
        <w:tc>
          <w:tcPr>
            <w:tcW w:w="60" w:type="dxa"/>
            <w:tcBorders/>
            <w:vAlign w:val="bottom"/>
          </w:tcPr>
          <w:p>
            <w:pPr>
              <w:pStyle w:val="TableContents"/>
              <w:bidi w:val="0"/>
              <w:spacing w:before="0" w:after="283"/>
              <w:jc w:val="right"/>
              <w:rPr/>
            </w:pPr>
            <w:r>
              <w:rPr/>
              <w:t> </w:t>
            </w:r>
          </w:p>
        </w:tc>
        <w:tc>
          <w:tcPr>
            <w:tcW w:w="248"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0"/>
              <w:jc w:val="right"/>
              <w:rPr>
                <w:color w:val="000000"/>
              </w:rPr>
            </w:pPr>
            <w:r>
              <w:rPr>
                <w:color w:val="000000"/>
              </w:rPr>
              <w:t>2,311</w:t>
            </w:r>
          </w:p>
        </w:tc>
        <w:tc>
          <w:tcPr>
            <w:tcW w:w="106"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right"/>
              <w:rPr/>
            </w:pPr>
            <w:r>
              <w:rPr/>
              <w:t> </w:t>
            </w:r>
          </w:p>
        </w:tc>
        <w:tc>
          <w:tcPr>
            <w:tcW w:w="248"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0"/>
              <w:jc w:val="right"/>
              <w:rPr>
                <w:color w:val="000000"/>
              </w:rPr>
            </w:pPr>
            <w:r>
              <w:rPr>
                <w:color w:val="000000"/>
              </w:rPr>
              <w:t>3,805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0"/>
              <w:jc w:val="right"/>
              <w:rPr>
                <w:color w:val="000000"/>
              </w:rPr>
            </w:pPr>
            <w:r>
              <w:rPr>
                <w:color w:val="000000"/>
              </w:rPr>
              <w:t>(1,494</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23"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color w:val="000000"/>
              </w:rPr>
            </w:pPr>
            <w:r>
              <w:rPr>
                <w:color w:val="000000"/>
              </w:rPr>
              <w:t>(39</w:t>
            </w:r>
          </w:p>
        </w:tc>
        <w:tc>
          <w:tcPr>
            <w:tcW w:w="305" w:type="dxa"/>
            <w:tcBorders/>
            <w:vAlign w:val="bottom"/>
          </w:tcPr>
          <w:p>
            <w:pPr>
              <w:pStyle w:val="TableContents"/>
              <w:bidi w:val="0"/>
              <w:spacing w:before="0" w:after="0"/>
              <w:jc w:val="left"/>
              <w:rPr>
                <w:color w:val="000000"/>
              </w:rPr>
            </w:pPr>
            <w:r>
              <w:rPr>
                <w:color w:val="000000"/>
              </w:rPr>
              <w:t>)%</w:t>
            </w:r>
          </w:p>
        </w:tc>
      </w:tr>
      <w:tr>
        <w:trPr/>
        <w:tc>
          <w:tcPr>
            <w:tcW w:w="3650" w:type="dxa"/>
            <w:tcBorders/>
            <w:shd w:fill="CCEEFF" w:val="clear"/>
            <w:vAlign w:val="bottom"/>
          </w:tcPr>
          <w:p>
            <w:pPr>
              <w:pStyle w:val="TableContents"/>
              <w:bidi w:val="0"/>
              <w:spacing w:before="0" w:after="0"/>
              <w:jc w:val="left"/>
              <w:rPr>
                <w:color w:val="000000"/>
              </w:rPr>
            </w:pPr>
            <w:r>
              <w:rPr>
                <w:color w:val="000000"/>
              </w:rPr>
              <w:t>Stock-based compensation</w:t>
            </w:r>
          </w:p>
        </w:tc>
        <w:tc>
          <w:tcPr>
            <w:tcW w:w="60" w:type="dxa"/>
            <w:tcBorders/>
            <w:shd w:fill="CCEEFF" w:val="clear"/>
            <w:vAlign w:val="bottom"/>
          </w:tcPr>
          <w:p>
            <w:pPr>
              <w:pStyle w:val="TableContents"/>
              <w:bidi w:val="0"/>
              <w:spacing w:before="0" w:after="283"/>
              <w:jc w:val="right"/>
              <w:rPr/>
            </w:pPr>
            <w:r>
              <w:rPr/>
              <w:t> </w:t>
            </w:r>
          </w:p>
        </w:tc>
        <w:tc>
          <w:tcPr>
            <w:tcW w:w="248"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0"/>
              <w:jc w:val="right"/>
              <w:rPr>
                <w:color w:val="000000"/>
              </w:rPr>
            </w:pPr>
            <w:r>
              <w:rPr>
                <w:color w:val="000000"/>
              </w:rPr>
              <w:t>1,457</w:t>
            </w:r>
          </w:p>
        </w:tc>
        <w:tc>
          <w:tcPr>
            <w:tcW w:w="106"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right"/>
              <w:rPr/>
            </w:pPr>
            <w:r>
              <w:rPr/>
              <w:t> </w:t>
            </w:r>
          </w:p>
        </w:tc>
        <w:tc>
          <w:tcPr>
            <w:tcW w:w="248"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0"/>
              <w:jc w:val="right"/>
              <w:rPr>
                <w:color w:val="000000"/>
              </w:rPr>
            </w:pPr>
            <w:r>
              <w:rPr>
                <w:color w:val="000000"/>
              </w:rPr>
              <w:t>1,356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0"/>
              <w:jc w:val="right"/>
              <w:rPr>
                <w:color w:val="000000"/>
              </w:rPr>
            </w:pPr>
            <w:r>
              <w:rPr>
                <w:color w:val="000000"/>
              </w:rPr>
              <w:t>101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color w:val="000000"/>
              </w:rPr>
            </w:pPr>
            <w:r>
              <w:rPr>
                <w:color w:val="000000"/>
              </w:rPr>
              <w:t>7</w:t>
            </w:r>
          </w:p>
        </w:tc>
        <w:tc>
          <w:tcPr>
            <w:tcW w:w="305" w:type="dxa"/>
            <w:tcBorders/>
            <w:shd w:fill="CCEEFF" w:val="clear"/>
            <w:vAlign w:val="bottom"/>
          </w:tcPr>
          <w:p>
            <w:pPr>
              <w:pStyle w:val="TableContents"/>
              <w:bidi w:val="0"/>
              <w:spacing w:before="0" w:after="0"/>
              <w:jc w:val="left"/>
              <w:rPr>
                <w:color w:val="000000"/>
              </w:rPr>
            </w:pPr>
            <w:r>
              <w:rPr>
                <w:color w:val="000000"/>
              </w:rPr>
              <w:t>%</w:t>
            </w:r>
          </w:p>
        </w:tc>
      </w:tr>
      <w:tr>
        <w:trPr/>
        <w:tc>
          <w:tcPr>
            <w:tcW w:w="3650" w:type="dxa"/>
            <w:tcBorders/>
            <w:vAlign w:val="bottom"/>
          </w:tcPr>
          <w:p>
            <w:pPr>
              <w:pStyle w:val="TableContents"/>
              <w:bidi w:val="0"/>
              <w:spacing w:before="0" w:after="0"/>
              <w:jc w:val="left"/>
              <w:rPr>
                <w:color w:val="000000"/>
              </w:rPr>
            </w:pPr>
            <w:r>
              <w:rPr>
                <w:color w:val="000000"/>
              </w:rPr>
              <w:t>Information technology</w:t>
            </w:r>
          </w:p>
        </w:tc>
        <w:tc>
          <w:tcPr>
            <w:tcW w:w="60" w:type="dxa"/>
            <w:tcBorders/>
            <w:vAlign w:val="bottom"/>
          </w:tcPr>
          <w:p>
            <w:pPr>
              <w:pStyle w:val="TableContents"/>
              <w:bidi w:val="0"/>
              <w:spacing w:before="0" w:after="283"/>
              <w:jc w:val="right"/>
              <w:rPr/>
            </w:pPr>
            <w:r>
              <w:rPr/>
              <w:t> </w:t>
            </w:r>
          </w:p>
        </w:tc>
        <w:tc>
          <w:tcPr>
            <w:tcW w:w="248"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0"/>
              <w:jc w:val="right"/>
              <w:rPr>
                <w:color w:val="000000"/>
              </w:rPr>
            </w:pPr>
            <w:r>
              <w:rPr>
                <w:color w:val="000000"/>
              </w:rPr>
              <w:t>1,368</w:t>
            </w:r>
          </w:p>
        </w:tc>
        <w:tc>
          <w:tcPr>
            <w:tcW w:w="106"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right"/>
              <w:rPr/>
            </w:pPr>
            <w:r>
              <w:rPr/>
              <w:t> </w:t>
            </w:r>
          </w:p>
        </w:tc>
        <w:tc>
          <w:tcPr>
            <w:tcW w:w="248" w:type="dxa"/>
            <w:tcBorders/>
            <w:vAlign w:val="bottom"/>
          </w:tcPr>
          <w:p>
            <w:pPr>
              <w:pStyle w:val="TableContents"/>
              <w:bidi w:val="0"/>
              <w:spacing w:before="0" w:after="283"/>
              <w:jc w:val="left"/>
              <w:rPr/>
            </w:pPr>
            <w:r>
              <w:rPr/>
              <w:t> </w:t>
            </w:r>
          </w:p>
        </w:tc>
        <w:tc>
          <w:tcPr>
            <w:tcW w:w="1207" w:type="dxa"/>
            <w:tcBorders/>
            <w:vAlign w:val="bottom"/>
          </w:tcPr>
          <w:p>
            <w:pPr>
              <w:pStyle w:val="TableContents"/>
              <w:bidi w:val="0"/>
              <w:spacing w:before="0" w:after="0"/>
              <w:jc w:val="right"/>
              <w:rPr>
                <w:color w:val="000000"/>
              </w:rPr>
            </w:pPr>
            <w:r>
              <w:rPr>
                <w:color w:val="000000"/>
              </w:rPr>
              <w:t>1,109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0"/>
              <w:jc w:val="right"/>
              <w:rPr>
                <w:color w:val="000000"/>
              </w:rPr>
            </w:pPr>
            <w:r>
              <w:rPr>
                <w:color w:val="000000"/>
              </w:rPr>
              <w:t>259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3"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color w:val="000000"/>
              </w:rPr>
            </w:pPr>
            <w:r>
              <w:rPr>
                <w:color w:val="000000"/>
              </w:rPr>
              <w:t>23</w:t>
            </w:r>
          </w:p>
        </w:tc>
        <w:tc>
          <w:tcPr>
            <w:tcW w:w="305" w:type="dxa"/>
            <w:tcBorders/>
            <w:vAlign w:val="bottom"/>
          </w:tcPr>
          <w:p>
            <w:pPr>
              <w:pStyle w:val="TableContents"/>
              <w:bidi w:val="0"/>
              <w:spacing w:before="0" w:after="0"/>
              <w:jc w:val="left"/>
              <w:rPr>
                <w:color w:val="000000"/>
              </w:rPr>
            </w:pPr>
            <w:r>
              <w:rPr>
                <w:color w:val="000000"/>
              </w:rPr>
              <w:t>%</w:t>
            </w:r>
          </w:p>
        </w:tc>
      </w:tr>
      <w:tr>
        <w:trPr/>
        <w:tc>
          <w:tcPr>
            <w:tcW w:w="3650" w:type="dxa"/>
            <w:tcBorders/>
            <w:shd w:fill="CCEEFF" w:val="clear"/>
            <w:vAlign w:val="bottom"/>
          </w:tcPr>
          <w:p>
            <w:pPr>
              <w:pStyle w:val="TableContents"/>
              <w:bidi w:val="0"/>
              <w:spacing w:before="0" w:after="0"/>
              <w:jc w:val="left"/>
              <w:rPr>
                <w:color w:val="000000"/>
              </w:rPr>
            </w:pPr>
            <w:r>
              <w:rPr>
                <w:color w:val="000000"/>
              </w:rPr>
              <w:t>Facility, depreciation and amortization</w:t>
            </w:r>
          </w:p>
        </w:tc>
        <w:tc>
          <w:tcPr>
            <w:tcW w:w="60" w:type="dxa"/>
            <w:tcBorders/>
            <w:shd w:fill="CCEEFF" w:val="clear"/>
            <w:vAlign w:val="bottom"/>
          </w:tcPr>
          <w:p>
            <w:pPr>
              <w:pStyle w:val="TableContents"/>
              <w:bidi w:val="0"/>
              <w:spacing w:before="0" w:after="283"/>
              <w:jc w:val="right"/>
              <w:rPr/>
            </w:pPr>
            <w:r>
              <w:rPr/>
              <w:t> </w:t>
            </w:r>
          </w:p>
        </w:tc>
        <w:tc>
          <w:tcPr>
            <w:tcW w:w="248"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0"/>
              <w:jc w:val="right"/>
              <w:rPr>
                <w:color w:val="000000"/>
              </w:rPr>
            </w:pPr>
            <w:r>
              <w:rPr>
                <w:color w:val="000000"/>
              </w:rPr>
              <w:t>629</w:t>
            </w:r>
          </w:p>
        </w:tc>
        <w:tc>
          <w:tcPr>
            <w:tcW w:w="106"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right"/>
              <w:rPr/>
            </w:pPr>
            <w:r>
              <w:rPr/>
              <w:t> </w:t>
            </w:r>
          </w:p>
        </w:tc>
        <w:tc>
          <w:tcPr>
            <w:tcW w:w="248" w:type="dxa"/>
            <w:tcBorders/>
            <w:shd w:fill="CCEEFF" w:val="clear"/>
            <w:vAlign w:val="bottom"/>
          </w:tcPr>
          <w:p>
            <w:pPr>
              <w:pStyle w:val="TableContents"/>
              <w:bidi w:val="0"/>
              <w:spacing w:before="0" w:after="283"/>
              <w:jc w:val="left"/>
              <w:rPr/>
            </w:pPr>
            <w:r>
              <w:rPr/>
              <w:t> </w:t>
            </w:r>
          </w:p>
        </w:tc>
        <w:tc>
          <w:tcPr>
            <w:tcW w:w="1207" w:type="dxa"/>
            <w:tcBorders/>
            <w:shd w:fill="CCEEFF" w:val="clear"/>
            <w:vAlign w:val="bottom"/>
          </w:tcPr>
          <w:p>
            <w:pPr>
              <w:pStyle w:val="TableContents"/>
              <w:bidi w:val="0"/>
              <w:spacing w:before="0" w:after="0"/>
              <w:jc w:val="right"/>
              <w:rPr>
                <w:color w:val="000000"/>
              </w:rPr>
            </w:pPr>
            <w:r>
              <w:rPr>
                <w:color w:val="000000"/>
              </w:rPr>
              <w:t>651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0"/>
              <w:jc w:val="right"/>
              <w:rPr>
                <w:color w:val="000000"/>
              </w:rPr>
            </w:pPr>
            <w:r>
              <w:rPr>
                <w:color w:val="000000"/>
              </w:rPr>
              <w:t>(22</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2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color w:val="000000"/>
              </w:rPr>
            </w:pPr>
            <w:r>
              <w:rPr>
                <w:color w:val="000000"/>
              </w:rPr>
              <w:t>(3</w:t>
            </w:r>
          </w:p>
        </w:tc>
        <w:tc>
          <w:tcPr>
            <w:tcW w:w="305" w:type="dxa"/>
            <w:tcBorders/>
            <w:shd w:fill="CCEEFF" w:val="clear"/>
            <w:vAlign w:val="bottom"/>
          </w:tcPr>
          <w:p>
            <w:pPr>
              <w:pStyle w:val="TableContents"/>
              <w:bidi w:val="0"/>
              <w:spacing w:before="0" w:after="0"/>
              <w:jc w:val="left"/>
              <w:rPr>
                <w:color w:val="000000"/>
              </w:rPr>
            </w:pPr>
            <w:r>
              <w:rPr>
                <w:color w:val="000000"/>
              </w:rPr>
              <w:t>)%</w:t>
            </w:r>
          </w:p>
        </w:tc>
      </w:tr>
      <w:tr>
        <w:trPr/>
        <w:tc>
          <w:tcPr>
            <w:tcW w:w="3650" w:type="dxa"/>
            <w:tcBorders/>
            <w:vAlign w:val="bottom"/>
          </w:tcPr>
          <w:p>
            <w:pPr>
              <w:pStyle w:val="TableContents"/>
              <w:bidi w:val="0"/>
              <w:spacing w:before="0" w:after="0"/>
              <w:jc w:val="left"/>
              <w:rPr>
                <w:color w:val="000000"/>
              </w:rPr>
            </w:pPr>
            <w:r>
              <w:rPr>
                <w:color w:val="000000"/>
              </w:rPr>
              <w:t>Other</w:t>
            </w:r>
          </w:p>
        </w:tc>
        <w:tc>
          <w:tcPr>
            <w:tcW w:w="60" w:type="dxa"/>
            <w:tcBorders/>
            <w:vAlign w:val="bottom"/>
          </w:tcPr>
          <w:p>
            <w:pPr>
              <w:pStyle w:val="TableContents"/>
              <w:bidi w:val="0"/>
              <w:spacing w:before="0" w:after="283"/>
              <w:jc w:val="right"/>
              <w:rPr/>
            </w:pPr>
            <w:r>
              <w:rPr/>
              <w:t> </w:t>
            </w:r>
          </w:p>
        </w:tc>
        <w:tc>
          <w:tcPr>
            <w:tcW w:w="248" w:type="dxa"/>
            <w:tcBorders>
              <w:bottom w:val="single" w:sz="12" w:space="0" w:color="000000"/>
            </w:tcBorders>
            <w:tcMar>
              <w:bottom w:w="28" w:type="dxa"/>
            </w:tcMar>
            <w:vAlign w:val="bottom"/>
          </w:tcPr>
          <w:p>
            <w:pPr>
              <w:pStyle w:val="TableContents"/>
              <w:bidi w:val="0"/>
              <w:spacing w:before="0" w:after="283"/>
              <w:jc w:val="left"/>
              <w:rPr/>
            </w:pPr>
            <w:r>
              <w:rPr/>
              <w:t> </w:t>
            </w:r>
          </w:p>
        </w:tc>
        <w:tc>
          <w:tcPr>
            <w:tcW w:w="120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500</w:t>
            </w:r>
          </w:p>
        </w:tc>
        <w:tc>
          <w:tcPr>
            <w:tcW w:w="106"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right"/>
              <w:rPr/>
            </w:pPr>
            <w:r>
              <w:rPr/>
              <w:t> </w:t>
            </w:r>
          </w:p>
        </w:tc>
        <w:tc>
          <w:tcPr>
            <w:tcW w:w="248" w:type="dxa"/>
            <w:tcBorders>
              <w:bottom w:val="single" w:sz="12" w:space="0" w:color="000000"/>
            </w:tcBorders>
            <w:tcMar>
              <w:bottom w:w="28" w:type="dxa"/>
            </w:tcMar>
            <w:vAlign w:val="bottom"/>
          </w:tcPr>
          <w:p>
            <w:pPr>
              <w:pStyle w:val="TableContents"/>
              <w:bidi w:val="0"/>
              <w:spacing w:before="0" w:after="283"/>
              <w:jc w:val="left"/>
              <w:rPr/>
            </w:pPr>
            <w:r>
              <w:rPr/>
              <w:t> </w:t>
            </w:r>
          </w:p>
        </w:tc>
        <w:tc>
          <w:tcPr>
            <w:tcW w:w="120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354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bottom w:val="single" w:sz="12" w:space="0" w:color="000000"/>
            </w:tcBorders>
            <w:tcMar>
              <w:bottom w:w="28" w:type="dxa"/>
            </w:tcMar>
            <w:vAlign w:val="bottom"/>
          </w:tcPr>
          <w:p>
            <w:pPr>
              <w:pStyle w:val="TableContents"/>
              <w:bidi w:val="0"/>
              <w:spacing w:before="0" w:after="283"/>
              <w:jc w:val="left"/>
              <w:rPr/>
            </w:pPr>
            <w:r>
              <w:rPr/>
              <w:t> </w:t>
            </w:r>
          </w:p>
        </w:tc>
        <w:tc>
          <w:tcPr>
            <w:tcW w:w="66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146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3" w:type="dxa"/>
            <w:tcBorders>
              <w:bottom w:val="single" w:sz="12" w:space="0" w:color="000000"/>
            </w:tcBorders>
            <w:tcMar>
              <w:bottom w:w="28" w:type="dxa"/>
            </w:tcMar>
            <w:vAlign w:val="bottom"/>
          </w:tcPr>
          <w:p>
            <w:pPr>
              <w:pStyle w:val="TableContents"/>
              <w:bidi w:val="0"/>
              <w:spacing w:before="0" w:after="283"/>
              <w:jc w:val="left"/>
              <w:rPr/>
            </w:pPr>
            <w:r>
              <w:rPr/>
              <w:t> </w:t>
            </w:r>
          </w:p>
        </w:tc>
        <w:tc>
          <w:tcPr>
            <w:tcW w:w="69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41</w:t>
            </w:r>
          </w:p>
        </w:tc>
        <w:tc>
          <w:tcPr>
            <w:tcW w:w="305" w:type="dxa"/>
            <w:tcBorders/>
            <w:vAlign w:val="bottom"/>
          </w:tcPr>
          <w:p>
            <w:pPr>
              <w:pStyle w:val="TableContents"/>
              <w:bidi w:val="0"/>
              <w:spacing w:before="0" w:after="0"/>
              <w:jc w:val="left"/>
              <w:rPr>
                <w:color w:val="000000"/>
              </w:rPr>
            </w:pPr>
            <w:r>
              <w:rPr>
                <w:color w:val="000000"/>
              </w:rPr>
              <w:t>%</w:t>
            </w:r>
          </w:p>
        </w:tc>
      </w:tr>
      <w:tr>
        <w:trPr/>
        <w:tc>
          <w:tcPr>
            <w:tcW w:w="36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8"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07"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12,711</w:t>
            </w:r>
          </w:p>
        </w:tc>
        <w:tc>
          <w:tcPr>
            <w:tcW w:w="106"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right"/>
              <w:rPr/>
            </w:pPr>
            <w:r>
              <w:rPr/>
              <w:t> </w:t>
            </w:r>
          </w:p>
        </w:tc>
        <w:tc>
          <w:tcPr>
            <w:tcW w:w="248"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07"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13,723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68"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(1,012</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23"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692"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w:t>
            </w:r>
          </w:p>
        </w:tc>
        <w:tc>
          <w:tcPr>
            <w:tcW w:w="305"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General and administrative ("G&amp;A") expenses decreased by $1.0 million, from $13.7 million for the three months ended June 30, 2025, to $12.7 million for the three months ended June 30, 2026.</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decrease in G&amp;A expenses was primarily attributable to:</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87" w:name="zd3df1308590f4770a11f5075f94ad8ab"/>
      <w:bookmarkStart w:id="188" w:name="zd3df1308590f4770a11f5075f94ad8ab"/>
      <w:bookmarkEnd w:id="188"/>
    </w:p>
    <w:tbl>
      <w:tblPr>
        <w:tblW w:w="6258" w:type="dxa"/>
        <w:jc w:val="left"/>
        <w:tblInd w:w="0" w:type="dxa"/>
        <w:tblLayout w:type="fixed"/>
        <w:tblCellMar>
          <w:top w:w="0" w:type="dxa"/>
          <w:left w:w="0" w:type="dxa"/>
          <w:bottom w:w="0" w:type="dxa"/>
          <w:right w:w="0" w:type="dxa"/>
        </w:tblCellMar>
      </w:tblPr>
      <w:tblGrid>
        <w:gridCol w:w="38"/>
        <w:gridCol w:w="110"/>
        <w:gridCol w:w="61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110" w:type="dxa"/>
            <w:tcBorders/>
            <w:vAlign w:val="center"/>
          </w:tcPr>
          <w:p>
            <w:pPr>
              <w:pStyle w:val="TableContents"/>
              <w:bidi w:val="0"/>
              <w:spacing w:before="0" w:after="0"/>
              <w:jc w:val="left"/>
              <w:rPr/>
            </w:pPr>
            <w:r>
              <w:rPr/>
              <w:t>$1.5 million decrease in consulting and contractor expenses;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9" w:name="z6fe51e4e67704b8da162934f314b7b12"/>
      <w:bookmarkStart w:id="190" w:name="z6fe51e4e67704b8da162934f314b7b12"/>
      <w:bookmarkEnd w:id="190"/>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$22,000 decrease in facilities, depreciation and amortization expenses, primarily related to our office facilities.</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decrease was partially offset by:</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91" w:name="z0986c5329f06480fae62ac3af70e2d1a"/>
      <w:bookmarkStart w:id="192" w:name="z0986c5329f06480fae62ac3af70e2d1a"/>
      <w:bookmarkEnd w:id="192"/>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$0.1 million increase in personnel-related expenses, including salaries, benefits and stock-based compensation, primarily driven by higher stock-based compensation expense;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93" w:name="z1045fbdd68c84a0b8d808778cae5f21c"/>
      <w:bookmarkStart w:id="194" w:name="z1045fbdd68c84a0b8d808778cae5f21c"/>
      <w:bookmarkEnd w:id="194"/>
    </w:p>
    <w:tbl>
      <w:tblPr>
        <w:tblW w:w="7608" w:type="dxa"/>
        <w:jc w:val="left"/>
        <w:tblInd w:w="0" w:type="dxa"/>
        <w:tblLayout w:type="fixed"/>
        <w:tblCellMar>
          <w:top w:w="0" w:type="dxa"/>
          <w:left w:w="0" w:type="dxa"/>
          <w:bottom w:w="0" w:type="dxa"/>
          <w:right w:w="0" w:type="dxa"/>
        </w:tblCellMar>
      </w:tblPr>
      <w:tblGrid>
        <w:gridCol w:w="38"/>
        <w:gridCol w:w="110"/>
        <w:gridCol w:w="746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460" w:type="dxa"/>
            <w:tcBorders/>
            <w:vAlign w:val="center"/>
          </w:tcPr>
          <w:p>
            <w:pPr>
              <w:pStyle w:val="TableContents"/>
              <w:bidi w:val="0"/>
              <w:spacing w:before="0" w:after="0"/>
              <w:jc w:val="left"/>
              <w:rPr/>
            </w:pPr>
            <w:r>
              <w:rPr/>
              <w:t>$0.3 million increase in information technology-related software expenses;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95" w:name="z1923c56a588149dba545d0766384f19c"/>
      <w:bookmarkStart w:id="196" w:name="z1923c56a588149dba545d0766384f19c"/>
      <w:bookmarkEnd w:id="196"/>
    </w:p>
    <w:tbl>
      <w:tblPr>
        <w:tblW w:w="3903" w:type="dxa"/>
        <w:jc w:val="left"/>
        <w:tblInd w:w="0" w:type="dxa"/>
        <w:tblLayout w:type="fixed"/>
        <w:tblCellMar>
          <w:top w:w="0" w:type="dxa"/>
          <w:left w:w="0" w:type="dxa"/>
          <w:bottom w:w="0" w:type="dxa"/>
          <w:right w:w="0" w:type="dxa"/>
        </w:tblCellMar>
      </w:tblPr>
      <w:tblGrid>
        <w:gridCol w:w="38"/>
        <w:gridCol w:w="110"/>
        <w:gridCol w:w="37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755" w:type="dxa"/>
            <w:tcBorders/>
            <w:vAlign w:val="center"/>
          </w:tcPr>
          <w:p>
            <w:pPr>
              <w:pStyle w:val="TableContents"/>
              <w:bidi w:val="0"/>
              <w:spacing w:before="0" w:after="0"/>
              <w:jc w:val="left"/>
              <w:rPr/>
            </w:pPr>
            <w:r>
              <w:rPr/>
              <w:t>$0.1 million increase in other expenses.</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following table summarizes our general and administrative expenses for the following periods (in thousands):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97" w:name="z2a24b04cc3624599a06cfcbff7e8bd1d"/>
      <w:bookmarkStart w:id="198" w:name="z2a24b04cc3624599a06cfcbff7e8bd1d"/>
      <w:bookmarkEnd w:id="198"/>
    </w:p>
    <w:tbl>
      <w:tblPr>
        <w:tblW w:w="8742" w:type="dxa"/>
        <w:jc w:val="left"/>
        <w:tblInd w:w="0" w:type="dxa"/>
        <w:tblLayout w:type="fixed"/>
        <w:tblCellMar>
          <w:top w:w="0" w:type="dxa"/>
          <w:left w:w="0" w:type="dxa"/>
          <w:bottom w:w="0" w:type="dxa"/>
          <w:right w:w="0" w:type="dxa"/>
        </w:tblCellMar>
      </w:tblPr>
      <w:tblGrid>
        <w:gridCol w:w="3650"/>
        <w:gridCol w:w="60"/>
        <w:gridCol w:w="224"/>
        <w:gridCol w:w="1091"/>
        <w:gridCol w:w="96"/>
        <w:gridCol w:w="96"/>
        <w:gridCol w:w="224"/>
        <w:gridCol w:w="1091"/>
        <w:gridCol w:w="60"/>
        <w:gridCol w:w="60"/>
        <w:gridCol w:w="147"/>
        <w:gridCol w:w="668"/>
        <w:gridCol w:w="95"/>
        <w:gridCol w:w="60"/>
        <w:gridCol w:w="123"/>
        <w:gridCol w:w="692"/>
        <w:gridCol w:w="305"/>
      </w:tblGrid>
      <w:tr>
        <w:trPr/>
        <w:tc>
          <w:tcPr>
            <w:tcW w:w="36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22" w:type="dxa"/>
            <w:gridSpan w:val="6"/>
            <w:tcBorders>
              <w:top w:val="single" w:sz="12" w:space="0" w:color="000000"/>
              <w:bottom w:val="single" w:sz="12" w:space="0" w:color="000000"/>
            </w:tcBorders>
            <w:tcMar>
              <w:top w:w="28" w:type="dxa"/>
              <w:bottom w:w="28" w:type="dxa"/>
            </w:tcMar>
            <w:vAlign w:val="bottom"/>
          </w:tcPr>
          <w:p>
            <w:pPr>
              <w:pStyle w:val="TableContents"/>
              <w:bidi w:val="0"/>
              <w:spacing w:before="0" w:after="0"/>
              <w:jc w:val="center"/>
              <w:rPr>
                <w:b/>
                <w:color w:val="000000"/>
              </w:rPr>
            </w:pPr>
            <w:r>
              <w:rPr>
                <w:b/>
                <w:color w:val="000000"/>
              </w:rPr>
              <w:t>Six Months Ended June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top w:val="single" w:sz="12" w:space="0" w:color="000000"/>
              <w:bottom w:val="single" w:sz="12" w:space="0" w:color="000000"/>
            </w:tcBorders>
            <w:tcMar>
              <w:top w:w="28" w:type="dxa"/>
              <w:bottom w:w="28" w:type="dxa"/>
            </w:tcMar>
            <w:vAlign w:val="bottom"/>
          </w:tcPr>
          <w:p>
            <w:pPr>
              <w:pStyle w:val="TableContents"/>
              <w:bidi w:val="0"/>
              <w:spacing w:before="0" w:after="0"/>
              <w:jc w:val="center"/>
              <w:rPr>
                <w:b/>
                <w:color w:val="000000"/>
              </w:rPr>
            </w:pPr>
            <w:r>
              <w:rPr>
                <w:b/>
                <w:color w:val="000000"/>
              </w:rPr>
              <w:t>Change</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top w:val="single" w:sz="12" w:space="0" w:color="000000"/>
              <w:bottom w:val="single" w:sz="12" w:space="0" w:color="000000"/>
            </w:tcBorders>
            <w:tcMar>
              <w:top w:w="28" w:type="dxa"/>
              <w:bottom w:w="28" w:type="dxa"/>
            </w:tcMar>
            <w:vAlign w:val="bottom"/>
          </w:tcPr>
          <w:p>
            <w:pPr>
              <w:pStyle w:val="TableContents"/>
              <w:bidi w:val="0"/>
              <w:spacing w:before="0" w:after="0"/>
              <w:jc w:val="center"/>
              <w:rPr>
                <w:b/>
                <w:color w:val="000000"/>
              </w:rPr>
            </w:pPr>
            <w:r>
              <w:rPr>
                <w:b/>
                <w:color w:val="000000"/>
              </w:rPr>
              <w:t>Change</w:t>
            </w:r>
          </w:p>
        </w:tc>
        <w:tc>
          <w:tcPr>
            <w:tcW w:w="305" w:type="dxa"/>
            <w:tcBorders/>
            <w:vAlign w:val="bottom"/>
          </w:tcPr>
          <w:p>
            <w:pPr>
              <w:pStyle w:val="TableContents"/>
              <w:bidi w:val="0"/>
              <w:spacing w:before="0" w:after="283"/>
              <w:jc w:val="left"/>
              <w:rPr/>
            </w:pPr>
            <w:r>
              <w:rPr/>
              <w:t> </w:t>
            </w:r>
          </w:p>
        </w:tc>
      </w:tr>
      <w:tr>
        <w:trPr/>
        <w:tc>
          <w:tcPr>
            <w:tcW w:w="36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bottom"/>
          </w:tcPr>
          <w:p>
            <w:pPr>
              <w:pStyle w:val="TableContents"/>
              <w:bidi w:val="0"/>
              <w:spacing w:before="0" w:after="283"/>
              <w:jc w:val="center"/>
              <w:rPr/>
            </w:pPr>
            <w:r>
              <w:rPr/>
              <w:t> </w:t>
            </w:r>
            <w:r>
              <w:rPr>
                <w:b/>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bottom w:val="single" w:sz="12" w:space="0" w:color="000000"/>
            </w:tcBorders>
            <w:tcMar>
              <w:bottom w:w="28" w:type="dxa"/>
            </w:tcMar>
            <w:vAlign w:val="bottom"/>
          </w:tcPr>
          <w:p>
            <w:pPr>
              <w:pStyle w:val="TableContents"/>
              <w:bidi w:val="0"/>
              <w:spacing w:before="0" w:after="0"/>
              <w:jc w:val="left"/>
              <w:rPr>
                <w:b/>
                <w:color w:val="000000"/>
              </w:rPr>
            </w:pPr>
            <w:r>
              <w:rPr>
                <w:b/>
                <w:color w:val="000000"/>
              </w:rPr>
            </w:r>
          </w:p>
        </w:tc>
        <w:tc>
          <w:tcPr>
            <w:tcW w:w="692" w:type="dxa"/>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t>
            </w:r>
          </w:p>
        </w:tc>
        <w:tc>
          <w:tcPr>
            <w:tcW w:w="305" w:type="dxa"/>
            <w:tcBorders/>
            <w:vAlign w:val="bottom"/>
          </w:tcPr>
          <w:p>
            <w:pPr>
              <w:pStyle w:val="TableContents"/>
              <w:bidi w:val="0"/>
              <w:spacing w:before="0" w:after="283"/>
              <w:jc w:val="left"/>
              <w:rPr/>
            </w:pPr>
            <w:r>
              <w:rPr/>
              <w:t> </w:t>
            </w:r>
          </w:p>
        </w:tc>
      </w:tr>
      <w:tr>
        <w:trPr/>
        <w:tc>
          <w:tcPr>
            <w:tcW w:w="3650" w:type="dxa"/>
            <w:tcBorders/>
            <w:shd w:fill="CCEEFF" w:val="clear"/>
            <w:vAlign w:val="bottom"/>
          </w:tcPr>
          <w:p>
            <w:pPr>
              <w:pStyle w:val="TableContents"/>
              <w:bidi w:val="0"/>
              <w:spacing w:before="0" w:after="0"/>
              <w:jc w:val="left"/>
              <w:rPr>
                <w:color w:val="000000"/>
              </w:rPr>
            </w:pPr>
            <w:r>
              <w:rPr>
                <w:color w:val="000000"/>
              </w:rPr>
              <w:t>Salaries and benefits</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0"/>
              <w:jc w:val="left"/>
              <w:rPr>
                <w:color w:val="000000"/>
              </w:rPr>
            </w:pPr>
            <w:r>
              <w:rPr>
                <w:color w:val="000000"/>
              </w:rPr>
              <w:t>$</w:t>
            </w:r>
          </w:p>
        </w:tc>
        <w:tc>
          <w:tcPr>
            <w:tcW w:w="1091" w:type="dxa"/>
            <w:tcBorders/>
            <w:shd w:fill="CCEEFF" w:val="clear"/>
            <w:vAlign w:val="bottom"/>
          </w:tcPr>
          <w:p>
            <w:pPr>
              <w:pStyle w:val="TableContents"/>
              <w:bidi w:val="0"/>
              <w:spacing w:before="0" w:after="0"/>
              <w:jc w:val="right"/>
              <w:rPr>
                <w:color w:val="000000"/>
              </w:rPr>
            </w:pPr>
            <w:r>
              <w:rPr>
                <w:color w:val="000000"/>
              </w:rPr>
              <w:t>12,613</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0"/>
              <w:jc w:val="left"/>
              <w:rPr>
                <w:color w:val="000000"/>
              </w:rPr>
            </w:pPr>
            <w:r>
              <w:rPr>
                <w:color w:val="000000"/>
              </w:rPr>
              <w:t>$</w:t>
            </w:r>
          </w:p>
        </w:tc>
        <w:tc>
          <w:tcPr>
            <w:tcW w:w="1091" w:type="dxa"/>
            <w:tcBorders/>
            <w:shd w:fill="CCEEFF" w:val="clear"/>
            <w:vAlign w:val="bottom"/>
          </w:tcPr>
          <w:p>
            <w:pPr>
              <w:pStyle w:val="TableContents"/>
              <w:bidi w:val="0"/>
              <w:spacing w:before="0" w:after="0"/>
              <w:jc w:val="right"/>
              <w:rPr>
                <w:color w:val="000000"/>
              </w:rPr>
            </w:pPr>
            <w:r>
              <w:rPr>
                <w:color w:val="000000"/>
              </w:rPr>
              <w:t>12,703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0"/>
              <w:jc w:val="left"/>
              <w:rPr>
                <w:color w:val="000000"/>
              </w:rPr>
            </w:pPr>
            <w:r>
              <w:rPr>
                <w:color w:val="000000"/>
              </w:rPr>
              <w:t>$</w:t>
            </w:r>
          </w:p>
        </w:tc>
        <w:tc>
          <w:tcPr>
            <w:tcW w:w="668" w:type="dxa"/>
            <w:tcBorders/>
            <w:shd w:fill="CCEEFF" w:val="clear"/>
            <w:vAlign w:val="bottom"/>
          </w:tcPr>
          <w:p>
            <w:pPr>
              <w:pStyle w:val="TableContents"/>
              <w:bidi w:val="0"/>
              <w:spacing w:before="0" w:after="0"/>
              <w:jc w:val="right"/>
              <w:rPr>
                <w:color w:val="000000"/>
              </w:rPr>
            </w:pPr>
            <w:r>
              <w:rPr>
                <w:color w:val="000000"/>
              </w:rPr>
              <w:t>(90</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color w:val="000000"/>
              </w:rPr>
            </w:pPr>
            <w:r>
              <w:rPr>
                <w:color w:val="000000"/>
              </w:rPr>
              <w:t>(1</w:t>
            </w:r>
          </w:p>
        </w:tc>
        <w:tc>
          <w:tcPr>
            <w:tcW w:w="305" w:type="dxa"/>
            <w:tcBorders/>
            <w:shd w:fill="CCEEFF" w:val="clear"/>
            <w:vAlign w:val="bottom"/>
          </w:tcPr>
          <w:p>
            <w:pPr>
              <w:pStyle w:val="TableContents"/>
              <w:bidi w:val="0"/>
              <w:spacing w:before="0" w:after="0"/>
              <w:jc w:val="left"/>
              <w:rPr>
                <w:color w:val="000000"/>
              </w:rPr>
            </w:pPr>
            <w:r>
              <w:rPr>
                <w:color w:val="000000"/>
              </w:rPr>
              <w:t>)%</w:t>
            </w:r>
          </w:p>
        </w:tc>
      </w:tr>
      <w:tr>
        <w:trPr/>
        <w:tc>
          <w:tcPr>
            <w:tcW w:w="3650" w:type="dxa"/>
            <w:tcBorders/>
            <w:vAlign w:val="bottom"/>
          </w:tcPr>
          <w:p>
            <w:pPr>
              <w:pStyle w:val="TableContents"/>
              <w:bidi w:val="0"/>
              <w:spacing w:before="0" w:after="0"/>
              <w:jc w:val="left"/>
              <w:rPr>
                <w:color w:val="000000"/>
              </w:rPr>
            </w:pPr>
            <w:r>
              <w:rPr>
                <w:color w:val="000000"/>
              </w:rPr>
              <w:t>Consulting and contractor</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091" w:type="dxa"/>
            <w:tcBorders/>
            <w:vAlign w:val="bottom"/>
          </w:tcPr>
          <w:p>
            <w:pPr>
              <w:pStyle w:val="TableContents"/>
              <w:bidi w:val="0"/>
              <w:spacing w:before="0" w:after="0"/>
              <w:jc w:val="right"/>
              <w:rPr>
                <w:color w:val="000000"/>
              </w:rPr>
            </w:pPr>
            <w:r>
              <w:rPr>
                <w:color w:val="000000"/>
              </w:rPr>
              <w:t>5,924</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091" w:type="dxa"/>
            <w:tcBorders/>
            <w:vAlign w:val="bottom"/>
          </w:tcPr>
          <w:p>
            <w:pPr>
              <w:pStyle w:val="TableContents"/>
              <w:bidi w:val="0"/>
              <w:spacing w:before="0" w:after="0"/>
              <w:jc w:val="right"/>
              <w:rPr>
                <w:color w:val="000000"/>
              </w:rPr>
            </w:pPr>
            <w:r>
              <w:rPr>
                <w:color w:val="000000"/>
              </w:rPr>
              <w:t>6,943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0"/>
              <w:jc w:val="right"/>
              <w:rPr>
                <w:color w:val="000000"/>
              </w:rPr>
            </w:pPr>
            <w:r>
              <w:rPr>
                <w:color w:val="000000"/>
              </w:rPr>
              <w:t>(1,019</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color w:val="000000"/>
              </w:rPr>
            </w:pPr>
            <w:r>
              <w:rPr>
                <w:color w:val="000000"/>
              </w:rPr>
              <w:t>(15</w:t>
            </w:r>
          </w:p>
        </w:tc>
        <w:tc>
          <w:tcPr>
            <w:tcW w:w="305" w:type="dxa"/>
            <w:tcBorders/>
            <w:vAlign w:val="bottom"/>
          </w:tcPr>
          <w:p>
            <w:pPr>
              <w:pStyle w:val="TableContents"/>
              <w:bidi w:val="0"/>
              <w:spacing w:before="0" w:after="0"/>
              <w:jc w:val="left"/>
              <w:rPr>
                <w:color w:val="000000"/>
              </w:rPr>
            </w:pPr>
            <w:r>
              <w:rPr>
                <w:color w:val="000000"/>
              </w:rPr>
              <w:t>)%</w:t>
            </w:r>
          </w:p>
        </w:tc>
      </w:tr>
      <w:tr>
        <w:trPr/>
        <w:tc>
          <w:tcPr>
            <w:tcW w:w="3650" w:type="dxa"/>
            <w:tcBorders/>
            <w:shd w:fill="CCEEFF" w:val="clear"/>
            <w:vAlign w:val="bottom"/>
          </w:tcPr>
          <w:p>
            <w:pPr>
              <w:pStyle w:val="TableContents"/>
              <w:bidi w:val="0"/>
              <w:spacing w:before="0" w:after="0"/>
              <w:jc w:val="left"/>
              <w:rPr>
                <w:color w:val="000000"/>
              </w:rPr>
            </w:pPr>
            <w:r>
              <w:rPr>
                <w:color w:val="000000"/>
              </w:rPr>
              <w:t>Stock-based compensation</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0"/>
              <w:jc w:val="right"/>
              <w:rPr>
                <w:color w:val="000000"/>
              </w:rPr>
            </w:pPr>
            <w:r>
              <w:rPr>
                <w:color w:val="000000"/>
              </w:rPr>
              <w:t>3,036</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0"/>
              <w:jc w:val="right"/>
              <w:rPr>
                <w:color w:val="000000"/>
              </w:rPr>
            </w:pPr>
            <w:r>
              <w:rPr>
                <w:color w:val="000000"/>
              </w:rPr>
              <w:t>2,313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0"/>
              <w:jc w:val="right"/>
              <w:rPr>
                <w:color w:val="000000"/>
              </w:rPr>
            </w:pPr>
            <w:r>
              <w:rPr>
                <w:color w:val="000000"/>
              </w:rPr>
              <w:t>723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color w:val="000000"/>
              </w:rPr>
            </w:pPr>
            <w:r>
              <w:rPr>
                <w:color w:val="000000"/>
              </w:rPr>
              <w:t>31</w:t>
            </w:r>
          </w:p>
        </w:tc>
        <w:tc>
          <w:tcPr>
            <w:tcW w:w="305" w:type="dxa"/>
            <w:tcBorders/>
            <w:shd w:fill="CCEEFF" w:val="clear"/>
            <w:vAlign w:val="bottom"/>
          </w:tcPr>
          <w:p>
            <w:pPr>
              <w:pStyle w:val="TableContents"/>
              <w:bidi w:val="0"/>
              <w:spacing w:before="0" w:after="0"/>
              <w:jc w:val="left"/>
              <w:rPr>
                <w:color w:val="000000"/>
              </w:rPr>
            </w:pPr>
            <w:r>
              <w:rPr>
                <w:color w:val="000000"/>
              </w:rPr>
              <w:t>%</w:t>
            </w:r>
          </w:p>
        </w:tc>
      </w:tr>
      <w:tr>
        <w:trPr/>
        <w:tc>
          <w:tcPr>
            <w:tcW w:w="3650" w:type="dxa"/>
            <w:tcBorders/>
            <w:vAlign w:val="bottom"/>
          </w:tcPr>
          <w:p>
            <w:pPr>
              <w:pStyle w:val="TableContents"/>
              <w:bidi w:val="0"/>
              <w:spacing w:before="0" w:after="0"/>
              <w:jc w:val="left"/>
              <w:rPr>
                <w:color w:val="000000"/>
              </w:rPr>
            </w:pPr>
            <w:r>
              <w:rPr>
                <w:color w:val="000000"/>
              </w:rPr>
              <w:t>Information technology</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091" w:type="dxa"/>
            <w:tcBorders/>
            <w:vAlign w:val="bottom"/>
          </w:tcPr>
          <w:p>
            <w:pPr>
              <w:pStyle w:val="TableContents"/>
              <w:bidi w:val="0"/>
              <w:spacing w:before="0" w:after="0"/>
              <w:jc w:val="right"/>
              <w:rPr>
                <w:color w:val="000000"/>
              </w:rPr>
            </w:pPr>
            <w:r>
              <w:rPr>
                <w:color w:val="000000"/>
              </w:rPr>
              <w:t>2,868</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091" w:type="dxa"/>
            <w:tcBorders/>
            <w:vAlign w:val="bottom"/>
          </w:tcPr>
          <w:p>
            <w:pPr>
              <w:pStyle w:val="TableContents"/>
              <w:bidi w:val="0"/>
              <w:spacing w:before="0" w:after="0"/>
              <w:jc w:val="right"/>
              <w:rPr>
                <w:color w:val="000000"/>
              </w:rPr>
            </w:pPr>
            <w:r>
              <w:rPr>
                <w:color w:val="000000"/>
              </w:rPr>
              <w:t>2,138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0"/>
              <w:jc w:val="right"/>
              <w:rPr>
                <w:color w:val="000000"/>
              </w:rPr>
            </w:pPr>
            <w:r>
              <w:rPr>
                <w:color w:val="000000"/>
              </w:rPr>
              <w:t>730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color w:val="000000"/>
              </w:rPr>
            </w:pPr>
            <w:r>
              <w:rPr>
                <w:color w:val="000000"/>
              </w:rPr>
              <w:t>34</w:t>
            </w:r>
          </w:p>
        </w:tc>
        <w:tc>
          <w:tcPr>
            <w:tcW w:w="305" w:type="dxa"/>
            <w:tcBorders/>
            <w:vAlign w:val="bottom"/>
          </w:tcPr>
          <w:p>
            <w:pPr>
              <w:pStyle w:val="TableContents"/>
              <w:bidi w:val="0"/>
              <w:spacing w:before="0" w:after="0"/>
              <w:jc w:val="left"/>
              <w:rPr>
                <w:color w:val="000000"/>
              </w:rPr>
            </w:pPr>
            <w:r>
              <w:rPr>
                <w:color w:val="000000"/>
              </w:rPr>
              <w:t>%</w:t>
            </w:r>
          </w:p>
        </w:tc>
      </w:tr>
      <w:tr>
        <w:trPr/>
        <w:tc>
          <w:tcPr>
            <w:tcW w:w="3650" w:type="dxa"/>
            <w:tcBorders/>
            <w:shd w:fill="CCEEFF" w:val="clear"/>
            <w:vAlign w:val="bottom"/>
          </w:tcPr>
          <w:p>
            <w:pPr>
              <w:pStyle w:val="TableContents"/>
              <w:bidi w:val="0"/>
              <w:spacing w:before="0" w:after="0"/>
              <w:jc w:val="left"/>
              <w:rPr>
                <w:color w:val="000000"/>
              </w:rPr>
            </w:pPr>
            <w:r>
              <w:rPr>
                <w:color w:val="000000"/>
              </w:rPr>
              <w:t>Facility, depreciation and amortization</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0"/>
              <w:jc w:val="right"/>
              <w:rPr>
                <w:color w:val="000000"/>
              </w:rPr>
            </w:pPr>
            <w:r>
              <w:rPr>
                <w:color w:val="000000"/>
              </w:rPr>
              <w:t>1,312</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091" w:type="dxa"/>
            <w:tcBorders/>
            <w:shd w:fill="CCEEFF" w:val="clear"/>
            <w:vAlign w:val="bottom"/>
          </w:tcPr>
          <w:p>
            <w:pPr>
              <w:pStyle w:val="TableContents"/>
              <w:bidi w:val="0"/>
              <w:spacing w:before="0" w:after="0"/>
              <w:jc w:val="right"/>
              <w:rPr>
                <w:color w:val="000000"/>
              </w:rPr>
            </w:pPr>
            <w:r>
              <w:rPr>
                <w:color w:val="000000"/>
              </w:rPr>
              <w:t>1,205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0"/>
              <w:jc w:val="right"/>
              <w:rPr>
                <w:color w:val="000000"/>
              </w:rPr>
            </w:pPr>
            <w:r>
              <w:rPr>
                <w:color w:val="000000"/>
              </w:rPr>
              <w:t>107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color w:val="000000"/>
              </w:rPr>
            </w:pPr>
            <w:r>
              <w:rPr>
                <w:color w:val="000000"/>
              </w:rPr>
              <w:t>9</w:t>
            </w:r>
          </w:p>
        </w:tc>
        <w:tc>
          <w:tcPr>
            <w:tcW w:w="305" w:type="dxa"/>
            <w:tcBorders/>
            <w:shd w:fill="CCEEFF" w:val="clear"/>
            <w:vAlign w:val="bottom"/>
          </w:tcPr>
          <w:p>
            <w:pPr>
              <w:pStyle w:val="TableContents"/>
              <w:bidi w:val="0"/>
              <w:spacing w:before="0" w:after="0"/>
              <w:jc w:val="left"/>
              <w:rPr>
                <w:color w:val="000000"/>
              </w:rPr>
            </w:pPr>
            <w:r>
              <w:rPr>
                <w:color w:val="000000"/>
              </w:rPr>
              <w:t>%</w:t>
            </w:r>
          </w:p>
        </w:tc>
      </w:tr>
      <w:tr>
        <w:trPr/>
        <w:tc>
          <w:tcPr>
            <w:tcW w:w="3650" w:type="dxa"/>
            <w:tcBorders/>
            <w:vAlign w:val="bottom"/>
          </w:tcPr>
          <w:p>
            <w:pPr>
              <w:pStyle w:val="TableContents"/>
              <w:bidi w:val="0"/>
              <w:spacing w:before="0" w:after="0"/>
              <w:jc w:val="left"/>
              <w:rPr>
                <w:color w:val="000000"/>
              </w:rPr>
            </w:pPr>
            <w:r>
              <w:rPr>
                <w:color w:val="000000"/>
              </w:rPr>
              <w:t>Other</w:t>
            </w:r>
          </w:p>
        </w:tc>
        <w:tc>
          <w:tcPr>
            <w:tcW w:w="60" w:type="dxa"/>
            <w:tcBorders/>
            <w:vAlign w:val="bottom"/>
          </w:tcPr>
          <w:p>
            <w:pPr>
              <w:pStyle w:val="TableContents"/>
              <w:bidi w:val="0"/>
              <w:spacing w:before="0" w:after="283"/>
              <w:jc w:val="left"/>
              <w:rPr/>
            </w:pPr>
            <w:r>
              <w:rPr/>
              <w:t> </w:t>
            </w:r>
          </w:p>
        </w:tc>
        <w:tc>
          <w:tcPr>
            <w:tcW w:w="22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9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871</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22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9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 w:type="dxa"/>
            <w:tcBorders>
              <w:bottom w:val="single" w:sz="12" w:space="0" w:color="000000"/>
            </w:tcBorders>
            <w:tcMar>
              <w:bottom w:w="28" w:type="dxa"/>
            </w:tcMar>
            <w:vAlign w:val="bottom"/>
          </w:tcPr>
          <w:p>
            <w:pPr>
              <w:pStyle w:val="TableContents"/>
              <w:bidi w:val="0"/>
              <w:spacing w:before="0" w:after="283"/>
              <w:jc w:val="left"/>
              <w:rPr/>
            </w:pPr>
            <w:r>
              <w:rPr/>
              <w:t> </w:t>
            </w:r>
          </w:p>
        </w:tc>
        <w:tc>
          <w:tcPr>
            <w:tcW w:w="66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165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 w:type="dxa"/>
            <w:tcBorders>
              <w:bottom w:val="single" w:sz="12" w:space="0" w:color="000000"/>
            </w:tcBorders>
            <w:tcMar>
              <w:bottom w:w="28" w:type="dxa"/>
            </w:tcMar>
            <w:vAlign w:val="bottom"/>
          </w:tcPr>
          <w:p>
            <w:pPr>
              <w:pStyle w:val="TableContents"/>
              <w:bidi w:val="0"/>
              <w:spacing w:before="0" w:after="283"/>
              <w:jc w:val="left"/>
              <w:rPr/>
            </w:pPr>
            <w:r>
              <w:rPr/>
              <w:t> </w:t>
            </w:r>
          </w:p>
        </w:tc>
        <w:tc>
          <w:tcPr>
            <w:tcW w:w="69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23</w:t>
            </w:r>
          </w:p>
        </w:tc>
        <w:tc>
          <w:tcPr>
            <w:tcW w:w="305" w:type="dxa"/>
            <w:tcBorders/>
            <w:vAlign w:val="bottom"/>
          </w:tcPr>
          <w:p>
            <w:pPr>
              <w:pStyle w:val="TableContents"/>
              <w:bidi w:val="0"/>
              <w:spacing w:before="0" w:after="0"/>
              <w:jc w:val="left"/>
              <w:rPr>
                <w:color w:val="000000"/>
              </w:rPr>
            </w:pPr>
            <w:r>
              <w:rPr>
                <w:color w:val="000000"/>
              </w:rPr>
              <w:t>%</w:t>
            </w:r>
          </w:p>
        </w:tc>
      </w:tr>
      <w:tr>
        <w:trPr/>
        <w:tc>
          <w:tcPr>
            <w:tcW w:w="36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4"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91"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26,624</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224"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091"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26,008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68"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616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692"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w:t>
            </w:r>
          </w:p>
        </w:tc>
        <w:tc>
          <w:tcPr>
            <w:tcW w:w="305"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General and administrative (“G&amp;A”) expenses increased by $0.6 million, from $26.0 million for the six months ended June 30, 2025, to $26.6 million for the six months ended June 30, 2026.</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increase was primarily attributable to:</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99" w:name="z31b93c866ffa4b7c98ab2ee41a50c595"/>
      <w:bookmarkStart w:id="200" w:name="z31b93c866ffa4b7c98ab2ee41a50c595"/>
      <w:bookmarkEnd w:id="200"/>
    </w:p>
    <w:tbl>
      <w:tblPr>
        <w:tblW w:w="7203" w:type="dxa"/>
        <w:jc w:val="left"/>
        <w:tblInd w:w="0" w:type="dxa"/>
        <w:tblLayout w:type="fixed"/>
        <w:tblCellMar>
          <w:top w:w="0" w:type="dxa"/>
          <w:left w:w="0" w:type="dxa"/>
          <w:bottom w:w="0" w:type="dxa"/>
          <w:right w:w="0" w:type="dxa"/>
        </w:tblCellMar>
      </w:tblPr>
      <w:tblGrid>
        <w:gridCol w:w="38"/>
        <w:gridCol w:w="110"/>
        <w:gridCol w:w="70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055" w:type="dxa"/>
            <w:tcBorders/>
            <w:vAlign w:val="center"/>
          </w:tcPr>
          <w:p>
            <w:pPr>
              <w:pStyle w:val="TableContents"/>
              <w:bidi w:val="0"/>
              <w:spacing w:before="0" w:after="0"/>
              <w:jc w:val="left"/>
              <w:rPr/>
            </w:pPr>
            <w:r>
              <w:rPr/>
              <w:t>$0.7 million increase in information technology-related software expenses;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1" w:name="z4db91bbcdfd44886bff3f86fd84f390e"/>
      <w:bookmarkStart w:id="202" w:name="z4db91bbcdfd44886bff3f86fd84f390e"/>
      <w:bookmarkEnd w:id="202"/>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$0.6 million increase in personnel-related expenses, including salaries, benefits and stock-based compensation, primarily driven by higher stock-based compensation expense associated with the addition of C-suite executives, partially offset by lower salary expense resulting from an overall reduction in headcount compared with the same period in the prior year;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3" w:name="z29fd11b070d34834896e27e92f783319"/>
      <w:bookmarkStart w:id="204" w:name="z29fd11b070d34834896e27e92f783319"/>
      <w:bookmarkEnd w:id="204"/>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$0.2 million increase in facilities, depreciation and amortization expenses related to our office buildings;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5" w:name="zba7b3acfbee441068f838ba98e3122ab"/>
      <w:bookmarkStart w:id="206" w:name="zba7b3acfbee441068f838ba98e3122ab"/>
      <w:bookmarkEnd w:id="206"/>
    </w:p>
    <w:tbl>
      <w:tblPr>
        <w:tblW w:w="3903" w:type="dxa"/>
        <w:jc w:val="left"/>
        <w:tblInd w:w="0" w:type="dxa"/>
        <w:tblLayout w:type="fixed"/>
        <w:tblCellMar>
          <w:top w:w="0" w:type="dxa"/>
          <w:left w:w="0" w:type="dxa"/>
          <w:bottom w:w="0" w:type="dxa"/>
          <w:right w:w="0" w:type="dxa"/>
        </w:tblCellMar>
      </w:tblPr>
      <w:tblGrid>
        <w:gridCol w:w="38"/>
        <w:gridCol w:w="110"/>
        <w:gridCol w:w="37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755" w:type="dxa"/>
            <w:tcBorders/>
            <w:vAlign w:val="center"/>
          </w:tcPr>
          <w:p>
            <w:pPr>
              <w:pStyle w:val="TableContents"/>
              <w:bidi w:val="0"/>
              <w:spacing w:before="0" w:after="0"/>
              <w:jc w:val="left"/>
              <w:rPr/>
            </w:pPr>
            <w:r>
              <w:rPr/>
              <w:t>$0.1 million increase in other expenses.</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These increases were partially offset by a $1.0 million decrease in consulting and contractor expenses.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following table summarizes our Other income (expense), net, for the following periods (in thousands):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07" w:name="z47133e6c27fd47539c6e08ee0335f9e1"/>
      <w:bookmarkStart w:id="208" w:name="z47133e6c27fd47539c6e08ee0335f9e1"/>
      <w:bookmarkEnd w:id="208"/>
    </w:p>
    <w:tbl>
      <w:tblPr>
        <w:tblW w:w="9598" w:type="dxa"/>
        <w:jc w:val="left"/>
        <w:tblInd w:w="0" w:type="dxa"/>
        <w:tblLayout w:type="fixed"/>
        <w:tblCellMar>
          <w:top w:w="0" w:type="dxa"/>
          <w:left w:w="0" w:type="dxa"/>
          <w:bottom w:w="0" w:type="dxa"/>
          <w:right w:w="0" w:type="dxa"/>
        </w:tblCellMar>
      </w:tblPr>
      <w:tblGrid>
        <w:gridCol w:w="3350"/>
        <w:gridCol w:w="60"/>
        <w:gridCol w:w="170"/>
        <w:gridCol w:w="775"/>
        <w:gridCol w:w="115"/>
        <w:gridCol w:w="73"/>
        <w:gridCol w:w="170"/>
        <w:gridCol w:w="683"/>
        <w:gridCol w:w="115"/>
        <w:gridCol w:w="73"/>
        <w:gridCol w:w="170"/>
        <w:gridCol w:w="775"/>
        <w:gridCol w:w="95"/>
        <w:gridCol w:w="60"/>
        <w:gridCol w:w="154"/>
        <w:gridCol w:w="700"/>
        <w:gridCol w:w="104"/>
        <w:gridCol w:w="66"/>
        <w:gridCol w:w="154"/>
        <w:gridCol w:w="617"/>
        <w:gridCol w:w="104"/>
        <w:gridCol w:w="66"/>
        <w:gridCol w:w="154"/>
        <w:gridCol w:w="700"/>
        <w:gridCol w:w="95"/>
      </w:tblGrid>
      <w:tr>
        <w:trPr/>
        <w:tc>
          <w:tcPr>
            <w:tcW w:w="3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19" w:type="dxa"/>
            <w:gridSpan w:val="10"/>
            <w:tcBorders>
              <w:top w:val="single" w:sz="12" w:space="0" w:color="000000"/>
              <w:bottom w:val="single" w:sz="12" w:space="0" w:color="000000"/>
            </w:tcBorders>
            <w:tcMar>
              <w:top w:w="28" w:type="dxa"/>
              <w:bottom w:w="28" w:type="dxa"/>
            </w:tcMar>
            <w:vAlign w:val="bottom"/>
          </w:tcPr>
          <w:p>
            <w:pPr>
              <w:pStyle w:val="TableContents"/>
              <w:bidi w:val="0"/>
              <w:spacing w:before="0" w:after="0"/>
              <w:jc w:val="center"/>
              <w:rPr>
                <w:b/>
                <w:color w:val="000000"/>
              </w:rPr>
            </w:pPr>
            <w:r>
              <w:rPr>
                <w:b/>
                <w:color w:val="000000"/>
              </w:rPr>
              <w:t>Three Months Ended June 30,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19" w:type="dxa"/>
            <w:gridSpan w:val="10"/>
            <w:tcBorders>
              <w:top w:val="single" w:sz="12" w:space="0" w:color="000000"/>
              <w:bottom w:val="single" w:sz="12" w:space="0" w:color="000000"/>
            </w:tcBorders>
            <w:tcMar>
              <w:top w:w="28" w:type="dxa"/>
              <w:bottom w:w="28" w:type="dxa"/>
            </w:tcMar>
            <w:vAlign w:val="bottom"/>
          </w:tcPr>
          <w:p>
            <w:pPr>
              <w:pStyle w:val="TableContents"/>
              <w:bidi w:val="0"/>
              <w:spacing w:before="0" w:after="0"/>
              <w:jc w:val="center"/>
              <w:rPr>
                <w:b/>
                <w:color w:val="000000"/>
              </w:rPr>
            </w:pPr>
            <w:r>
              <w:rPr>
                <w:b/>
                <w:color w:val="000000"/>
              </w:rPr>
              <w:t>Six Months Ended June 30,</w:t>
            </w:r>
          </w:p>
        </w:tc>
        <w:tc>
          <w:tcPr>
            <w:tcW w:w="95" w:type="dxa"/>
            <w:tcBorders/>
            <w:vAlign w:val="bottom"/>
          </w:tcPr>
          <w:p>
            <w:pPr>
              <w:pStyle w:val="TableContents"/>
              <w:bidi w:val="0"/>
              <w:spacing w:before="0" w:after="283"/>
              <w:jc w:val="left"/>
              <w:rPr/>
            </w:pPr>
            <w:r>
              <w:rPr/>
              <w:t> </w:t>
            </w:r>
          </w:p>
        </w:tc>
      </w:tr>
      <w:tr>
        <w:trPr/>
        <w:tc>
          <w:tcPr>
            <w:tcW w:w="3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11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53"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1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94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Change</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10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71"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0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5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Change</w:t>
            </w:r>
          </w:p>
        </w:tc>
        <w:tc>
          <w:tcPr>
            <w:tcW w:w="95" w:type="dxa"/>
            <w:tcBorders/>
            <w:vAlign w:val="bottom"/>
          </w:tcPr>
          <w:p>
            <w:pPr>
              <w:pStyle w:val="TableContents"/>
              <w:bidi w:val="0"/>
              <w:spacing w:before="0" w:after="283"/>
              <w:jc w:val="left"/>
              <w:rPr/>
            </w:pPr>
            <w:r>
              <w:rPr/>
              <w:t> </w:t>
            </w:r>
          </w:p>
        </w:tc>
      </w:tr>
      <w:tr>
        <w:trPr/>
        <w:tc>
          <w:tcPr>
            <w:tcW w:w="3350" w:type="dxa"/>
            <w:tcBorders/>
            <w:vAlign w:val="bottom"/>
          </w:tcPr>
          <w:p>
            <w:pPr>
              <w:pStyle w:val="TableContents"/>
              <w:bidi w:val="0"/>
              <w:spacing w:before="0" w:after="0"/>
              <w:jc w:val="left"/>
              <w:rPr>
                <w:color w:val="000000"/>
              </w:rPr>
            </w:pPr>
            <w:r>
              <w:rPr>
                <w:color w:val="000000"/>
              </w:rPr>
              <w:t>Other income (expense), net:</w:t>
            </w:r>
          </w:p>
        </w:tc>
        <w:tc>
          <w:tcPr>
            <w:tcW w:w="60" w:type="dxa"/>
            <w:tcBorders/>
            <w:vAlign w:val="bottom"/>
          </w:tcPr>
          <w:p>
            <w:pPr>
              <w:pStyle w:val="TableContents"/>
              <w:bidi w:val="0"/>
              <w:spacing w:before="0" w:after="283"/>
              <w:jc w:val="left"/>
              <w:rPr/>
            </w:pPr>
            <w:r>
              <w:rPr/>
              <w:t> </w:t>
            </w:r>
          </w:p>
        </w:tc>
        <w:tc>
          <w:tcPr>
            <w:tcW w:w="945" w:type="dxa"/>
            <w:gridSpan w:val="2"/>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53" w:type="dxa"/>
            <w:gridSpan w:val="2"/>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94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4" w:type="dxa"/>
            <w:gridSpan w:val="2"/>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71" w:type="dxa"/>
            <w:gridSpan w:val="2"/>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854"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3350" w:type="dxa"/>
            <w:tcBorders/>
            <w:shd w:fill="CCEEFF" w:val="clear"/>
            <w:vAlign w:val="bottom"/>
          </w:tcPr>
          <w:p>
            <w:pPr>
              <w:pStyle w:val="TableContents"/>
              <w:bidi w:val="0"/>
              <w:spacing w:before="0" w:after="0"/>
              <w:ind w:left="180" w:right="0" w:hanging="0"/>
              <w:jc w:val="left"/>
              <w:rPr>
                <w:color w:val="000000"/>
              </w:rPr>
            </w:pPr>
            <w:r>
              <w:rPr>
                <w:color w:val="000000"/>
              </w:rPr>
              <w:t>Interest and investment income, net</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75" w:type="dxa"/>
            <w:tcBorders/>
            <w:shd w:fill="CCEEFF" w:val="clear"/>
            <w:vAlign w:val="bottom"/>
          </w:tcPr>
          <w:p>
            <w:pPr>
              <w:pStyle w:val="TableContents"/>
              <w:bidi w:val="0"/>
              <w:spacing w:before="0" w:after="0"/>
              <w:jc w:val="right"/>
              <w:rPr>
                <w:color w:val="000000"/>
              </w:rPr>
            </w:pPr>
            <w:r>
              <w:rPr>
                <w:color w:val="000000"/>
              </w:rPr>
              <w:t>1,038</w:t>
            </w:r>
          </w:p>
        </w:tc>
        <w:tc>
          <w:tcPr>
            <w:tcW w:w="11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683" w:type="dxa"/>
            <w:tcBorders/>
            <w:shd w:fill="CCEEFF" w:val="clear"/>
            <w:vAlign w:val="bottom"/>
          </w:tcPr>
          <w:p>
            <w:pPr>
              <w:pStyle w:val="TableContents"/>
              <w:bidi w:val="0"/>
              <w:spacing w:before="0" w:after="0"/>
              <w:jc w:val="right"/>
              <w:rPr>
                <w:color w:val="000000"/>
              </w:rPr>
            </w:pPr>
            <w:r>
              <w:rPr>
                <w:color w:val="000000"/>
              </w:rPr>
              <w:t>1,514</w:t>
            </w:r>
          </w:p>
        </w:tc>
        <w:tc>
          <w:tcPr>
            <w:tcW w:w="11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75" w:type="dxa"/>
            <w:tcBorders/>
            <w:shd w:fill="CCEEFF" w:val="clear"/>
            <w:vAlign w:val="bottom"/>
          </w:tcPr>
          <w:p>
            <w:pPr>
              <w:pStyle w:val="TableContents"/>
              <w:bidi w:val="0"/>
              <w:spacing w:before="0" w:after="0"/>
              <w:jc w:val="right"/>
              <w:rPr>
                <w:color w:val="000000"/>
              </w:rPr>
            </w:pPr>
            <w:r>
              <w:rPr>
                <w:color w:val="000000"/>
              </w:rPr>
              <w:t>(476</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0"/>
              <w:jc w:val="left"/>
              <w:rPr>
                <w:color w:val="000000"/>
              </w:rPr>
            </w:pPr>
            <w:r>
              <w:rPr>
                <w:color w:val="000000"/>
              </w:rPr>
              <w:t>$</w:t>
            </w:r>
          </w:p>
        </w:tc>
        <w:tc>
          <w:tcPr>
            <w:tcW w:w="700" w:type="dxa"/>
            <w:tcBorders/>
            <w:shd w:fill="CCEEFF" w:val="clear"/>
            <w:vAlign w:val="bottom"/>
          </w:tcPr>
          <w:p>
            <w:pPr>
              <w:pStyle w:val="TableContents"/>
              <w:bidi w:val="0"/>
              <w:spacing w:before="0" w:after="0"/>
              <w:jc w:val="right"/>
              <w:rPr>
                <w:color w:val="000000"/>
              </w:rPr>
            </w:pPr>
            <w:r>
              <w:rPr>
                <w:color w:val="000000"/>
              </w:rPr>
              <w:t>2,729</w:t>
            </w:r>
          </w:p>
        </w:tc>
        <w:tc>
          <w:tcPr>
            <w:tcW w:w="10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0"/>
              <w:jc w:val="left"/>
              <w:rPr>
                <w:color w:val="000000"/>
              </w:rPr>
            </w:pPr>
            <w:r>
              <w:rPr>
                <w:color w:val="000000"/>
              </w:rPr>
              <w:t>$</w:t>
            </w:r>
          </w:p>
        </w:tc>
        <w:tc>
          <w:tcPr>
            <w:tcW w:w="617" w:type="dxa"/>
            <w:tcBorders/>
            <w:shd w:fill="CCEEFF" w:val="clear"/>
            <w:vAlign w:val="bottom"/>
          </w:tcPr>
          <w:p>
            <w:pPr>
              <w:pStyle w:val="TableContents"/>
              <w:bidi w:val="0"/>
              <w:spacing w:before="0" w:after="0"/>
              <w:jc w:val="right"/>
              <w:rPr>
                <w:color w:val="000000"/>
              </w:rPr>
            </w:pPr>
            <w:r>
              <w:rPr>
                <w:color w:val="000000"/>
              </w:rPr>
              <w:t>3,717</w:t>
            </w:r>
          </w:p>
        </w:tc>
        <w:tc>
          <w:tcPr>
            <w:tcW w:w="104"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0"/>
              <w:jc w:val="left"/>
              <w:rPr>
                <w:color w:val="000000"/>
              </w:rPr>
            </w:pPr>
            <w:r>
              <w:rPr>
                <w:color w:val="000000"/>
              </w:rPr>
              <w:t>$</w:t>
            </w:r>
          </w:p>
        </w:tc>
        <w:tc>
          <w:tcPr>
            <w:tcW w:w="700" w:type="dxa"/>
            <w:tcBorders/>
            <w:shd w:fill="CCEEFF" w:val="clear"/>
            <w:vAlign w:val="bottom"/>
          </w:tcPr>
          <w:p>
            <w:pPr>
              <w:pStyle w:val="TableContents"/>
              <w:bidi w:val="0"/>
              <w:spacing w:before="0" w:after="0"/>
              <w:jc w:val="right"/>
              <w:rPr>
                <w:color w:val="000000"/>
              </w:rPr>
            </w:pPr>
            <w:r>
              <w:rPr>
                <w:color w:val="000000"/>
              </w:rPr>
              <w:t>(988</w:t>
            </w:r>
          </w:p>
        </w:tc>
        <w:tc>
          <w:tcPr>
            <w:tcW w:w="95" w:type="dxa"/>
            <w:tcBorders/>
            <w:shd w:fill="CCEEFF" w:val="clear"/>
            <w:vAlign w:val="bottom"/>
          </w:tcPr>
          <w:p>
            <w:pPr>
              <w:pStyle w:val="TableContents"/>
              <w:bidi w:val="0"/>
              <w:spacing w:before="0" w:after="0"/>
              <w:jc w:val="left"/>
              <w:rPr>
                <w:color w:val="000000"/>
              </w:rPr>
            </w:pPr>
            <w:r>
              <w:rPr>
                <w:color w:val="000000"/>
              </w:rPr>
              <w:t>)</w:t>
            </w:r>
          </w:p>
        </w:tc>
      </w:tr>
      <w:tr>
        <w:trPr/>
        <w:tc>
          <w:tcPr>
            <w:tcW w:w="3350" w:type="dxa"/>
            <w:tcBorders/>
            <w:vAlign w:val="bottom"/>
          </w:tcPr>
          <w:p>
            <w:pPr>
              <w:pStyle w:val="TableContents"/>
              <w:bidi w:val="0"/>
              <w:spacing w:before="0" w:after="0"/>
              <w:ind w:left="180" w:right="0" w:hanging="0"/>
              <w:jc w:val="left"/>
              <w:rPr>
                <w:color w:val="000000"/>
              </w:rPr>
            </w:pPr>
            <w:r>
              <w:rPr>
                <w:color w:val="000000"/>
              </w:rPr>
              <w:t>Interest expense</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0"/>
              <w:jc w:val="right"/>
              <w:rPr>
                <w:color w:val="000000"/>
              </w:rPr>
            </w:pPr>
            <w:r>
              <w:rPr>
                <w:color w:val="000000"/>
              </w:rPr>
              <w:t>(4,859</w:t>
            </w:r>
          </w:p>
        </w:tc>
        <w:tc>
          <w:tcPr>
            <w:tcW w:w="115" w:type="dxa"/>
            <w:tcBorders/>
            <w:vAlign w:val="bottom"/>
          </w:tcPr>
          <w:p>
            <w:pPr>
              <w:pStyle w:val="TableContents"/>
              <w:bidi w:val="0"/>
              <w:spacing w:before="0" w:after="0"/>
              <w:jc w:val="left"/>
              <w:rPr>
                <w:color w:val="000000"/>
              </w:rPr>
            </w:pPr>
            <w:r>
              <w:rPr>
                <w:color w:val="000000"/>
              </w:rPr>
              <w:t>)</w:t>
            </w:r>
          </w:p>
        </w:tc>
        <w:tc>
          <w:tcPr>
            <w:tcW w:w="73"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683" w:type="dxa"/>
            <w:tcBorders/>
            <w:vAlign w:val="bottom"/>
          </w:tcPr>
          <w:p>
            <w:pPr>
              <w:pStyle w:val="TableContents"/>
              <w:bidi w:val="0"/>
              <w:spacing w:before="0" w:after="0"/>
              <w:jc w:val="right"/>
              <w:rPr>
                <w:color w:val="000000"/>
              </w:rPr>
            </w:pPr>
            <w:r>
              <w:rPr>
                <w:color w:val="000000"/>
              </w:rPr>
              <w:t>(1</w:t>
            </w:r>
          </w:p>
        </w:tc>
        <w:tc>
          <w:tcPr>
            <w:tcW w:w="115" w:type="dxa"/>
            <w:tcBorders/>
            <w:vAlign w:val="bottom"/>
          </w:tcPr>
          <w:p>
            <w:pPr>
              <w:pStyle w:val="TableContents"/>
              <w:bidi w:val="0"/>
              <w:spacing w:before="0" w:after="0"/>
              <w:jc w:val="left"/>
              <w:rPr>
                <w:color w:val="000000"/>
              </w:rPr>
            </w:pPr>
            <w:r>
              <w:rPr>
                <w:color w:val="000000"/>
              </w:rPr>
              <w:t>)</w:t>
            </w:r>
          </w:p>
        </w:tc>
        <w:tc>
          <w:tcPr>
            <w:tcW w:w="73"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0"/>
              <w:jc w:val="right"/>
              <w:rPr>
                <w:color w:val="000000"/>
              </w:rPr>
            </w:pPr>
            <w:r>
              <w:rPr>
                <w:color w:val="000000"/>
              </w:rPr>
              <w:t>(4,858</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0"/>
              <w:jc w:val="right"/>
              <w:rPr>
                <w:color w:val="000000"/>
              </w:rPr>
            </w:pPr>
            <w:r>
              <w:rPr>
                <w:color w:val="000000"/>
              </w:rPr>
              <w:t>(7,863</w:t>
            </w:r>
          </w:p>
        </w:tc>
        <w:tc>
          <w:tcPr>
            <w:tcW w:w="104" w:type="dxa"/>
            <w:tcBorders/>
            <w:vAlign w:val="bottom"/>
          </w:tcPr>
          <w:p>
            <w:pPr>
              <w:pStyle w:val="TableContents"/>
              <w:bidi w:val="0"/>
              <w:spacing w:before="0" w:after="0"/>
              <w:jc w:val="left"/>
              <w:rPr>
                <w:color w:val="000000"/>
              </w:rPr>
            </w:pPr>
            <w:r>
              <w:rPr>
                <w:color w:val="000000"/>
              </w:rPr>
              <w:t>)</w:t>
            </w:r>
          </w:p>
        </w:tc>
        <w:tc>
          <w:tcPr>
            <w:tcW w:w="66"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17" w:type="dxa"/>
            <w:tcBorders/>
            <w:vAlign w:val="bottom"/>
          </w:tcPr>
          <w:p>
            <w:pPr>
              <w:pStyle w:val="TableContents"/>
              <w:bidi w:val="0"/>
              <w:spacing w:before="0" w:after="0"/>
              <w:jc w:val="right"/>
              <w:rPr>
                <w:color w:val="000000"/>
              </w:rPr>
            </w:pPr>
            <w:r>
              <w:rPr>
                <w:color w:val="000000"/>
              </w:rPr>
              <w:t>(3</w:t>
            </w:r>
          </w:p>
        </w:tc>
        <w:tc>
          <w:tcPr>
            <w:tcW w:w="104" w:type="dxa"/>
            <w:tcBorders/>
            <w:vAlign w:val="bottom"/>
          </w:tcPr>
          <w:p>
            <w:pPr>
              <w:pStyle w:val="TableContents"/>
              <w:bidi w:val="0"/>
              <w:spacing w:before="0" w:after="0"/>
              <w:jc w:val="left"/>
              <w:rPr>
                <w:color w:val="000000"/>
              </w:rPr>
            </w:pPr>
            <w:r>
              <w:rPr>
                <w:color w:val="000000"/>
              </w:rPr>
              <w:t>)</w:t>
            </w:r>
          </w:p>
        </w:tc>
        <w:tc>
          <w:tcPr>
            <w:tcW w:w="66"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0"/>
              <w:jc w:val="right"/>
              <w:rPr>
                <w:color w:val="000000"/>
              </w:rPr>
            </w:pPr>
            <w:r>
              <w:rPr>
                <w:color w:val="000000"/>
              </w:rPr>
              <w:t>(7,860</w:t>
            </w:r>
          </w:p>
        </w:tc>
        <w:tc>
          <w:tcPr>
            <w:tcW w:w="95" w:type="dxa"/>
            <w:tcBorders/>
            <w:vAlign w:val="bottom"/>
          </w:tcPr>
          <w:p>
            <w:pPr>
              <w:pStyle w:val="TableContents"/>
              <w:bidi w:val="0"/>
              <w:spacing w:before="0" w:after="0"/>
              <w:jc w:val="left"/>
              <w:rPr>
                <w:color w:val="000000"/>
              </w:rPr>
            </w:pPr>
            <w:r>
              <w:rPr>
                <w:color w:val="000000"/>
              </w:rPr>
              <w:t>)</w:t>
            </w:r>
          </w:p>
        </w:tc>
      </w:tr>
      <w:tr>
        <w:trPr/>
        <w:tc>
          <w:tcPr>
            <w:tcW w:w="3350" w:type="dxa"/>
            <w:tcBorders/>
            <w:shd w:fill="CCEEFF" w:val="clear"/>
            <w:vAlign w:val="bottom"/>
          </w:tcPr>
          <w:p>
            <w:pPr>
              <w:pStyle w:val="TableContents"/>
              <w:bidi w:val="0"/>
              <w:spacing w:before="0" w:after="0"/>
              <w:ind w:left="180" w:right="0" w:hanging="0"/>
              <w:jc w:val="left"/>
              <w:rPr>
                <w:color w:val="000000"/>
              </w:rPr>
            </w:pPr>
            <w:r>
              <w:rPr>
                <w:color w:val="000000"/>
              </w:rPr>
              <w:t>Other (expense), net</w:t>
            </w:r>
          </w:p>
        </w:tc>
        <w:tc>
          <w:tcPr>
            <w:tcW w:w="6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7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w:t>
            </w:r>
          </w:p>
        </w:tc>
        <w:tc>
          <w:tcPr>
            <w:tcW w:w="115" w:type="dxa"/>
            <w:tcBorders/>
            <w:shd w:fill="CCEEFF" w:val="clear"/>
            <w:vAlign w:val="bottom"/>
          </w:tcPr>
          <w:p>
            <w:pPr>
              <w:pStyle w:val="TableContents"/>
              <w:bidi w:val="0"/>
              <w:spacing w:before="0" w:after="0"/>
              <w:jc w:val="left"/>
              <w:rPr>
                <w:color w:val="000000"/>
              </w:rPr>
            </w:pPr>
            <w:r>
              <w:rPr>
                <w:color w:val="000000"/>
              </w:rPr>
              <w:t>)</w:t>
            </w:r>
          </w:p>
        </w:tc>
        <w:tc>
          <w:tcPr>
            <w:tcW w:w="73"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(55</w:t>
            </w:r>
          </w:p>
        </w:tc>
        <w:tc>
          <w:tcPr>
            <w:tcW w:w="115" w:type="dxa"/>
            <w:tcBorders/>
            <w:shd w:fill="CCEEFF" w:val="clear"/>
            <w:vAlign w:val="bottom"/>
          </w:tcPr>
          <w:p>
            <w:pPr>
              <w:pStyle w:val="TableContents"/>
              <w:bidi w:val="0"/>
              <w:spacing w:before="0" w:after="0"/>
              <w:jc w:val="left"/>
              <w:rPr>
                <w:color w:val="000000"/>
              </w:rPr>
            </w:pPr>
            <w:r>
              <w:rPr>
                <w:color w:val="000000"/>
              </w:rPr>
              <w:t>)</w:t>
            </w:r>
          </w:p>
        </w:tc>
        <w:tc>
          <w:tcPr>
            <w:tcW w:w="73"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7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w:t>
            </w:r>
          </w:p>
        </w:tc>
        <w:tc>
          <w:tcPr>
            <w:tcW w:w="104" w:type="dxa"/>
            <w:tcBorders/>
            <w:shd w:fill="CCEEFF" w:val="clear"/>
            <w:vAlign w:val="bottom"/>
          </w:tcPr>
          <w:p>
            <w:pPr>
              <w:pStyle w:val="TableContents"/>
              <w:bidi w:val="0"/>
              <w:spacing w:before="0" w:after="0"/>
              <w:jc w:val="left"/>
              <w:rPr>
                <w:color w:val="000000"/>
              </w:rPr>
            </w:pPr>
            <w:r>
              <w:rPr>
                <w:color w:val="000000"/>
              </w:rPr>
              <w:t>)</w:t>
            </w:r>
          </w:p>
        </w:tc>
        <w:tc>
          <w:tcPr>
            <w:tcW w:w="66" w:type="dxa"/>
            <w:tcBorders/>
            <w:shd w:fill="CCEEFF" w:val="clear"/>
            <w:vAlign w:val="bottom"/>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17"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(57</w:t>
            </w:r>
          </w:p>
        </w:tc>
        <w:tc>
          <w:tcPr>
            <w:tcW w:w="104" w:type="dxa"/>
            <w:tcBorders/>
            <w:shd w:fill="CCEEFF" w:val="clear"/>
            <w:vAlign w:val="bottom"/>
          </w:tcPr>
          <w:p>
            <w:pPr>
              <w:pStyle w:val="TableContents"/>
              <w:bidi w:val="0"/>
              <w:spacing w:before="0" w:after="0"/>
              <w:jc w:val="left"/>
              <w:rPr>
                <w:color w:val="000000"/>
              </w:rPr>
            </w:pPr>
            <w:r>
              <w:rPr>
                <w:color w:val="000000"/>
              </w:rPr>
              <w:t>)</w:t>
            </w:r>
          </w:p>
        </w:tc>
        <w:tc>
          <w:tcPr>
            <w:tcW w:w="66" w:type="dxa"/>
            <w:tcBorders/>
            <w:shd w:fill="CCEEFF" w:val="clear"/>
            <w:vAlign w:val="bottom"/>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0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55</w:t>
            </w:r>
          </w:p>
        </w:tc>
        <w:tc>
          <w:tcPr>
            <w:tcW w:w="95" w:type="dxa"/>
            <w:tcBorders/>
            <w:shd w:fill="CCEEFF" w:val="clear"/>
            <w:vAlign w:val="bottom"/>
          </w:tcPr>
          <w:p>
            <w:pPr>
              <w:pStyle w:val="TableContents"/>
              <w:bidi w:val="0"/>
              <w:spacing w:before="0" w:after="283"/>
              <w:jc w:val="left"/>
              <w:rPr/>
            </w:pPr>
            <w:r>
              <w:rPr/>
              <w:t> </w:t>
            </w:r>
          </w:p>
        </w:tc>
      </w:tr>
      <w:tr>
        <w:trPr/>
        <w:tc>
          <w:tcPr>
            <w:tcW w:w="3350" w:type="dxa"/>
            <w:tcBorders/>
            <w:vAlign w:val="bottom"/>
          </w:tcPr>
          <w:p>
            <w:pPr>
              <w:pStyle w:val="TableContents"/>
              <w:bidi w:val="0"/>
              <w:spacing w:before="0" w:after="0"/>
              <w:ind w:left="360" w:right="0" w:hanging="0"/>
              <w:jc w:val="left"/>
              <w:rPr>
                <w:color w:val="000000"/>
              </w:rPr>
            </w:pPr>
            <w:r>
              <w:rPr>
                <w:color w:val="000000"/>
              </w:rPr>
              <w:t>Total other income (expense), net:</w:t>
            </w:r>
          </w:p>
        </w:tc>
        <w:tc>
          <w:tcPr>
            <w:tcW w:w="6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7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(3,822</w:t>
            </w:r>
          </w:p>
        </w:tc>
        <w:tc>
          <w:tcPr>
            <w:tcW w:w="115" w:type="dxa"/>
            <w:tcBorders/>
            <w:vAlign w:val="bottom"/>
          </w:tcPr>
          <w:p>
            <w:pPr>
              <w:pStyle w:val="TableContents"/>
              <w:bidi w:val="0"/>
              <w:spacing w:before="0" w:after="0"/>
              <w:jc w:val="left"/>
              <w:rPr>
                <w:color w:val="000000"/>
              </w:rPr>
            </w:pPr>
            <w:r>
              <w:rPr>
                <w:color w:val="000000"/>
              </w:rPr>
              <w:t>)</w:t>
            </w:r>
          </w:p>
        </w:tc>
        <w:tc>
          <w:tcPr>
            <w:tcW w:w="73"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683"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1,458</w:t>
            </w:r>
          </w:p>
        </w:tc>
        <w:tc>
          <w:tcPr>
            <w:tcW w:w="11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7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(5,280</w:t>
            </w:r>
          </w:p>
        </w:tc>
        <w:tc>
          <w:tcPr>
            <w:tcW w:w="9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54"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0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(5,136</w:t>
            </w:r>
          </w:p>
        </w:tc>
        <w:tc>
          <w:tcPr>
            <w:tcW w:w="104" w:type="dxa"/>
            <w:tcBorders/>
            <w:vAlign w:val="bottom"/>
          </w:tcPr>
          <w:p>
            <w:pPr>
              <w:pStyle w:val="TableContents"/>
              <w:bidi w:val="0"/>
              <w:spacing w:before="0" w:after="0"/>
              <w:jc w:val="left"/>
              <w:rPr>
                <w:color w:val="000000"/>
              </w:rPr>
            </w:pPr>
            <w:r>
              <w:rPr>
                <w:color w:val="000000"/>
              </w:rPr>
              <w:t>)</w:t>
            </w:r>
          </w:p>
        </w:tc>
        <w:tc>
          <w:tcPr>
            <w:tcW w:w="66" w:type="dxa"/>
            <w:tcBorders/>
            <w:vAlign w:val="bottom"/>
          </w:tcPr>
          <w:p>
            <w:pPr>
              <w:pStyle w:val="TableContents"/>
              <w:bidi w:val="0"/>
              <w:spacing w:before="0" w:after="283"/>
              <w:jc w:val="left"/>
              <w:rPr/>
            </w:pPr>
            <w:r>
              <w:rPr/>
              <w:t> </w:t>
            </w:r>
          </w:p>
        </w:tc>
        <w:tc>
          <w:tcPr>
            <w:tcW w:w="154"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617"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3,657</w:t>
            </w:r>
          </w:p>
        </w:tc>
        <w:tc>
          <w:tcPr>
            <w:tcW w:w="104"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54"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0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(8,793</w:t>
            </w:r>
          </w:p>
        </w:tc>
        <w:tc>
          <w:tcPr>
            <w:tcW w:w="95" w:type="dxa"/>
            <w:tcBorders/>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Interest and Investment Income, Net</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Interest and investment income, net, decreased by $0.5 million, from $1.5 million for the three months ended June 30, 2025, to $1.0 million for the three months ended June 30, 2026. Interest and investment income, net, decreased by $1.0 million, from $3.7 million for the six months ended June 30, 2025, to $2.7 million for the six months ended June 30, 2026. The decreases were primarily attributable to lower interest income resulting from reduced balances of short-term investments and marketable securities.</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Interest expense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increase in interest expense for the three and six months ended June 30, 2026, as compared to the three and six months ended June 30, 2025 is primarily attributable to interest expense and amortization of the debt discount related to the Roche convertible promissory note, as well as interest expense associated with the Exact Sciences convertible promissory note.</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Cash Flows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Comparison of the Six Months Ended June 30, 2026 and 2025</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following table summarizes our cash flows during the periods indicated (in thousands):</w:t>
      </w:r>
    </w:p>
    <w:p>
      <w:pPr>
        <w:pStyle w:val="TextBody"/>
        <w:bidi w:val="0"/>
        <w:spacing w:before="0" w:after="0"/>
        <w:jc w:val="left"/>
        <w:rPr/>
      </w:pPr>
      <w:r>
        <w:rPr/>
      </w:r>
    </w:p>
    <w:p>
      <w:pPr>
        <w:pStyle w:val="Normal"/>
        <w:bidi w:val="0"/>
        <w:spacing w:before="0" w:after="0"/>
        <w:ind w:left="720" w:right="0" w:hanging="0"/>
        <w:jc w:val="left"/>
        <w:rPr>
          <w:sz w:val="4"/>
          <w:szCs w:val="4"/>
        </w:rPr>
      </w:pPr>
      <w:r>
        <w:rPr>
          <w:sz w:val="4"/>
          <w:szCs w:val="4"/>
        </w:rPr>
      </w:r>
      <w:bookmarkStart w:id="209" w:name="zb21aaf0a0bbf42ef9c1f7d4dce2ad274"/>
      <w:bookmarkStart w:id="210" w:name="zb21aaf0a0bbf42ef9c1f7d4dce2ad274"/>
      <w:bookmarkEnd w:id="210"/>
    </w:p>
    <w:tbl>
      <w:tblPr>
        <w:tblW w:w="8381" w:type="dxa"/>
        <w:jc w:val="center"/>
        <w:tblInd w:w="0" w:type="dxa"/>
        <w:tblLayout w:type="fixed"/>
        <w:tblCellMar>
          <w:top w:w="0" w:type="dxa"/>
          <w:left w:w="0" w:type="dxa"/>
          <w:bottom w:w="0" w:type="dxa"/>
          <w:right w:w="0" w:type="dxa"/>
        </w:tblCellMar>
      </w:tblPr>
      <w:tblGrid>
        <w:gridCol w:w="4430"/>
        <w:gridCol w:w="60"/>
        <w:gridCol w:w="198"/>
        <w:gridCol w:w="1135"/>
        <w:gridCol w:w="134"/>
        <w:gridCol w:w="85"/>
        <w:gridCol w:w="198"/>
        <w:gridCol w:w="1071"/>
        <w:gridCol w:w="95"/>
        <w:gridCol w:w="60"/>
        <w:gridCol w:w="140"/>
        <w:gridCol w:w="680"/>
        <w:gridCol w:w="95"/>
      </w:tblGrid>
      <w:tr>
        <w:trPr/>
        <w:tc>
          <w:tcPr>
            <w:tcW w:w="44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21" w:type="dxa"/>
            <w:gridSpan w:val="6"/>
            <w:tcBorders>
              <w:top w:val="single" w:sz="12" w:space="0" w:color="000000"/>
              <w:bottom w:val="single" w:sz="12" w:space="0" w:color="000000"/>
            </w:tcBorders>
            <w:tcMar>
              <w:top w:w="28" w:type="dxa"/>
              <w:bottom w:w="28" w:type="dxa"/>
            </w:tcMar>
            <w:vAlign w:val="bottom"/>
          </w:tcPr>
          <w:p>
            <w:pPr>
              <w:pStyle w:val="TableContents"/>
              <w:bidi w:val="0"/>
              <w:spacing w:before="0" w:after="0"/>
              <w:jc w:val="center"/>
              <w:rPr>
                <w:b/>
                <w:color w:val="000000"/>
              </w:rPr>
            </w:pPr>
            <w:r>
              <w:rPr>
                <w:b/>
                <w:color w:val="000000"/>
              </w:rPr>
              <w:t>Six Months Ended June 30,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top w:val="single" w:sz="12" w:space="0" w:color="000000"/>
              <w:bottom w:val="single" w:sz="12" w:space="0" w:color="000000"/>
            </w:tcBorders>
            <w:tcMar>
              <w:top w:w="28" w:type="dxa"/>
              <w:bottom w:w="28" w:type="dxa"/>
            </w:tcMar>
            <w:vAlign w:val="bottom"/>
          </w:tcPr>
          <w:p>
            <w:pPr>
              <w:pStyle w:val="TableContents"/>
              <w:bidi w:val="0"/>
              <w:spacing w:before="0" w:after="0"/>
              <w:jc w:val="center"/>
              <w:rPr>
                <w:b/>
                <w:color w:val="000000"/>
              </w:rPr>
            </w:pPr>
            <w:r>
              <w:rPr>
                <w:b/>
                <w:color w:val="000000"/>
              </w:rPr>
              <w:t>Change</w:t>
            </w:r>
          </w:p>
        </w:tc>
        <w:tc>
          <w:tcPr>
            <w:tcW w:w="95" w:type="dxa"/>
            <w:tcBorders/>
            <w:vAlign w:val="bottom"/>
          </w:tcPr>
          <w:p>
            <w:pPr>
              <w:pStyle w:val="TableContents"/>
              <w:bidi w:val="0"/>
              <w:spacing w:before="0" w:after="283"/>
              <w:jc w:val="left"/>
              <w:rPr/>
            </w:pPr>
            <w:r>
              <w:rPr/>
              <w:t> </w:t>
            </w:r>
          </w:p>
        </w:tc>
      </w:tr>
      <w:tr>
        <w:trPr/>
        <w:tc>
          <w:tcPr>
            <w:tcW w:w="44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33"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134"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26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b/>
                <w:color w:val="000000"/>
              </w:rPr>
            </w:pPr>
            <w:r>
              <w:rPr>
                <w:b/>
                <w:color w:val="000000"/>
              </w:rPr>
            </w:r>
          </w:p>
        </w:tc>
        <w:tc>
          <w:tcPr>
            <w:tcW w:w="680" w:type="dxa"/>
            <w:tcBorders>
              <w:bottom w:val="single" w:sz="12" w:space="0" w:color="000000"/>
            </w:tcBorders>
            <w:tcMar>
              <w:bottom w:w="28" w:type="dxa"/>
            </w:tcMar>
            <w:vAlign w:val="bottom"/>
          </w:tcPr>
          <w:p>
            <w:pPr>
              <w:pStyle w:val="TableContents"/>
              <w:bidi w:val="0"/>
              <w:spacing w:before="0" w:after="283"/>
              <w:jc w:val="center"/>
              <w:rPr/>
            </w:pPr>
            <w:r>
              <w:rPr>
                <w:b/>
              </w:rPr>
              <w:t>$</w:t>
            </w:r>
            <w:r>
              <w:rPr/>
              <w:t xml:space="preserve"> </w:t>
            </w:r>
          </w:p>
        </w:tc>
        <w:tc>
          <w:tcPr>
            <w:tcW w:w="95" w:type="dxa"/>
            <w:tcBorders/>
            <w:vAlign w:val="bottom"/>
          </w:tcPr>
          <w:p>
            <w:pPr>
              <w:pStyle w:val="TableContents"/>
              <w:bidi w:val="0"/>
              <w:spacing w:before="0" w:after="283"/>
              <w:jc w:val="left"/>
              <w:rPr/>
            </w:pPr>
            <w:r>
              <w:rPr/>
              <w:t> </w:t>
            </w:r>
          </w:p>
        </w:tc>
      </w:tr>
      <w:tr>
        <w:trPr/>
        <w:tc>
          <w:tcPr>
            <w:tcW w:w="4430" w:type="dxa"/>
            <w:tcBorders/>
            <w:shd w:fill="CCEEFF" w:val="clear"/>
            <w:vAlign w:val="bottom"/>
          </w:tcPr>
          <w:p>
            <w:pPr>
              <w:pStyle w:val="TableContents"/>
              <w:bidi w:val="0"/>
              <w:spacing w:before="0" w:after="0"/>
              <w:jc w:val="left"/>
              <w:rPr>
                <w:color w:val="000000"/>
              </w:rPr>
            </w:pPr>
            <w:r>
              <w:rPr>
                <w:color w:val="000000"/>
              </w:rPr>
              <w:t>Net cash flows used in operating activities</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0"/>
              <w:jc w:val="left"/>
              <w:rPr>
                <w:color w:val="000000"/>
              </w:rPr>
            </w:pPr>
            <w:r>
              <w:rPr>
                <w:color w:val="000000"/>
              </w:rPr>
              <w:t>$</w:t>
            </w:r>
          </w:p>
        </w:tc>
        <w:tc>
          <w:tcPr>
            <w:tcW w:w="1135" w:type="dxa"/>
            <w:tcBorders/>
            <w:shd w:fill="CCEEFF" w:val="clear"/>
            <w:vAlign w:val="bottom"/>
          </w:tcPr>
          <w:p>
            <w:pPr>
              <w:pStyle w:val="TableContents"/>
              <w:bidi w:val="0"/>
              <w:spacing w:before="0" w:after="0"/>
              <w:jc w:val="right"/>
              <w:rPr>
                <w:color w:val="000000"/>
              </w:rPr>
            </w:pPr>
            <w:r>
              <w:rPr>
                <w:color w:val="000000"/>
              </w:rPr>
              <w:t>(97,110</w:t>
            </w:r>
          </w:p>
        </w:tc>
        <w:tc>
          <w:tcPr>
            <w:tcW w:w="134" w:type="dxa"/>
            <w:tcBorders/>
            <w:shd w:fill="CCEEFF" w:val="clear"/>
            <w:vAlign w:val="bottom"/>
          </w:tcPr>
          <w:p>
            <w:pPr>
              <w:pStyle w:val="TableContents"/>
              <w:bidi w:val="0"/>
              <w:spacing w:before="0" w:after="0"/>
              <w:jc w:val="left"/>
              <w:rPr>
                <w:color w:val="000000"/>
              </w:rPr>
            </w:pPr>
            <w:r>
              <w:rPr>
                <w:color w:val="000000"/>
              </w:rPr>
              <w:t>)</w:t>
            </w:r>
          </w:p>
        </w:tc>
        <w:tc>
          <w:tcPr>
            <w:tcW w:w="85"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0"/>
              <w:jc w:val="left"/>
              <w:rPr>
                <w:color w:val="000000"/>
              </w:rPr>
            </w:pPr>
            <w:r>
              <w:rPr>
                <w:color w:val="000000"/>
              </w:rPr>
              <w:t>$</w:t>
            </w:r>
          </w:p>
        </w:tc>
        <w:tc>
          <w:tcPr>
            <w:tcW w:w="1071" w:type="dxa"/>
            <w:tcBorders/>
            <w:shd w:fill="CCEEFF" w:val="clear"/>
            <w:vAlign w:val="bottom"/>
          </w:tcPr>
          <w:p>
            <w:pPr>
              <w:pStyle w:val="TableContents"/>
              <w:bidi w:val="0"/>
              <w:spacing w:before="0" w:after="0"/>
              <w:jc w:val="right"/>
              <w:rPr>
                <w:color w:val="000000"/>
              </w:rPr>
            </w:pPr>
            <w:r>
              <w:rPr>
                <w:color w:val="000000"/>
              </w:rPr>
              <w:t>(99,646</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80" w:type="dxa"/>
            <w:tcBorders/>
            <w:shd w:fill="CCEEFF" w:val="clear"/>
            <w:vAlign w:val="bottom"/>
          </w:tcPr>
          <w:p>
            <w:pPr>
              <w:pStyle w:val="TableContents"/>
              <w:bidi w:val="0"/>
              <w:spacing w:before="0" w:after="0"/>
              <w:jc w:val="right"/>
              <w:rPr>
                <w:color w:val="000000"/>
              </w:rPr>
            </w:pPr>
            <w:r>
              <w:rPr>
                <w:color w:val="000000"/>
              </w:rPr>
              <w:t>2,536</w:t>
            </w:r>
          </w:p>
        </w:tc>
        <w:tc>
          <w:tcPr>
            <w:tcW w:w="95" w:type="dxa"/>
            <w:tcBorders/>
            <w:shd w:fill="CCEEFF" w:val="clear"/>
            <w:vAlign w:val="bottom"/>
          </w:tcPr>
          <w:p>
            <w:pPr>
              <w:pStyle w:val="TableContents"/>
              <w:bidi w:val="0"/>
              <w:spacing w:before="0" w:after="283"/>
              <w:jc w:val="left"/>
              <w:rPr/>
            </w:pPr>
            <w:r>
              <w:rPr/>
              <w:t> </w:t>
            </w:r>
          </w:p>
        </w:tc>
      </w:tr>
      <w:tr>
        <w:trPr/>
        <w:tc>
          <w:tcPr>
            <w:tcW w:w="4430" w:type="dxa"/>
            <w:tcBorders/>
            <w:vAlign w:val="bottom"/>
          </w:tcPr>
          <w:p>
            <w:pPr>
              <w:pStyle w:val="TableContents"/>
              <w:bidi w:val="0"/>
              <w:spacing w:before="0" w:after="0"/>
              <w:jc w:val="left"/>
              <w:rPr>
                <w:color w:val="000000"/>
              </w:rPr>
            </w:pPr>
            <w:r>
              <w:rPr>
                <w:color w:val="000000"/>
              </w:rPr>
              <w:t>Net cash flows provided by investing activities</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135" w:type="dxa"/>
            <w:tcBorders/>
            <w:vAlign w:val="bottom"/>
          </w:tcPr>
          <w:p>
            <w:pPr>
              <w:pStyle w:val="TableContents"/>
              <w:bidi w:val="0"/>
              <w:spacing w:before="0" w:after="0"/>
              <w:jc w:val="right"/>
              <w:rPr>
                <w:color w:val="000000"/>
              </w:rPr>
            </w:pPr>
            <w:r>
              <w:rPr>
                <w:color w:val="000000"/>
              </w:rPr>
              <w:t>110,665</w:t>
            </w:r>
          </w:p>
        </w:tc>
        <w:tc>
          <w:tcPr>
            <w:tcW w:w="134"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071" w:type="dxa"/>
            <w:tcBorders/>
            <w:vAlign w:val="bottom"/>
          </w:tcPr>
          <w:p>
            <w:pPr>
              <w:pStyle w:val="TableContents"/>
              <w:bidi w:val="0"/>
              <w:spacing w:before="0" w:after="0"/>
              <w:jc w:val="right"/>
              <w:rPr>
                <w:color w:val="000000"/>
              </w:rPr>
            </w:pPr>
            <w:r>
              <w:rPr>
                <w:color w:val="000000"/>
              </w:rPr>
              <w:t>92,744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color w:val="000000"/>
              </w:rPr>
            </w:pPr>
            <w:r>
              <w:rPr>
                <w:color w:val="000000"/>
              </w:rPr>
              <w:t>17,921</w:t>
            </w:r>
          </w:p>
        </w:tc>
        <w:tc>
          <w:tcPr>
            <w:tcW w:w="95" w:type="dxa"/>
            <w:tcBorders/>
            <w:vAlign w:val="bottom"/>
          </w:tcPr>
          <w:p>
            <w:pPr>
              <w:pStyle w:val="TableContents"/>
              <w:bidi w:val="0"/>
              <w:spacing w:before="0" w:after="283"/>
              <w:jc w:val="left"/>
              <w:rPr/>
            </w:pPr>
            <w:r>
              <w:rPr/>
              <w:t> </w:t>
            </w:r>
          </w:p>
        </w:tc>
      </w:tr>
      <w:tr>
        <w:trPr/>
        <w:tc>
          <w:tcPr>
            <w:tcW w:w="4430" w:type="dxa"/>
            <w:tcBorders/>
            <w:shd w:fill="CCEEFF" w:val="clear"/>
            <w:vAlign w:val="bottom"/>
          </w:tcPr>
          <w:p>
            <w:pPr>
              <w:pStyle w:val="TableContents"/>
              <w:bidi w:val="0"/>
              <w:spacing w:before="0" w:after="0"/>
              <w:jc w:val="left"/>
              <w:rPr>
                <w:color w:val="000000"/>
              </w:rPr>
            </w:pPr>
            <w:r>
              <w:rPr>
                <w:color w:val="000000"/>
              </w:rPr>
              <w:t>Net cash flows used in financing activities</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135" w:type="dxa"/>
            <w:tcBorders/>
            <w:shd w:fill="CCEEFF" w:val="clear"/>
            <w:vAlign w:val="bottom"/>
          </w:tcPr>
          <w:p>
            <w:pPr>
              <w:pStyle w:val="TableContents"/>
              <w:bidi w:val="0"/>
              <w:spacing w:before="0" w:after="0"/>
              <w:jc w:val="right"/>
              <w:rPr>
                <w:color w:val="000000"/>
              </w:rPr>
            </w:pPr>
            <w:r>
              <w:rPr>
                <w:color w:val="000000"/>
              </w:rPr>
              <w:t>(6,185</w:t>
            </w:r>
          </w:p>
        </w:tc>
        <w:tc>
          <w:tcPr>
            <w:tcW w:w="134" w:type="dxa"/>
            <w:tcBorders/>
            <w:shd w:fill="CCEEFF" w:val="clear"/>
            <w:vAlign w:val="bottom"/>
          </w:tcPr>
          <w:p>
            <w:pPr>
              <w:pStyle w:val="TableContents"/>
              <w:bidi w:val="0"/>
              <w:spacing w:before="0" w:after="0"/>
              <w:jc w:val="left"/>
              <w:rPr>
                <w:color w:val="000000"/>
              </w:rPr>
            </w:pPr>
            <w:r>
              <w:rPr>
                <w:color w:val="000000"/>
              </w:rPr>
              <w:t>)</w:t>
            </w:r>
          </w:p>
        </w:tc>
        <w:tc>
          <w:tcPr>
            <w:tcW w:w="85"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071" w:type="dxa"/>
            <w:tcBorders/>
            <w:shd w:fill="CCEEFF" w:val="clear"/>
            <w:vAlign w:val="bottom"/>
          </w:tcPr>
          <w:p>
            <w:pPr>
              <w:pStyle w:val="TableContents"/>
              <w:bidi w:val="0"/>
              <w:spacing w:before="0" w:after="0"/>
              <w:jc w:val="right"/>
              <w:rPr>
                <w:color w:val="000000"/>
              </w:rPr>
            </w:pPr>
            <w:r>
              <w:rPr>
                <w:color w:val="000000"/>
              </w:rPr>
              <w:t>(31</w:t>
            </w:r>
          </w:p>
        </w:tc>
        <w:tc>
          <w:tcPr>
            <w:tcW w:w="9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color w:val="000000"/>
              </w:rPr>
            </w:pPr>
            <w:r>
              <w:rPr>
                <w:color w:val="000000"/>
              </w:rPr>
              <w:t>(6,154</w:t>
            </w:r>
          </w:p>
        </w:tc>
        <w:tc>
          <w:tcPr>
            <w:tcW w:w="95"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ind w:left="720" w:right="0" w:hanging="0"/>
        <w:jc w:val="left"/>
        <w:rPr/>
      </w:pPr>
      <w:r>
        <w:rPr/>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For the six months ended June 30, 2026, net cash used in operating activities was $97.1 million, primarily attributable to our net loss of $132.6 million, partially offset by non-cash charges of $24.1 million and $11.4 million of net cash provided by changes in operating assets and liabilities. Non-cash charges primarily included depreciation and amortization, stock-based compensation expense, non-cash interest expense and amortization of debt issuance costs, and amortization of right-of-use assets, partially offset by net accretion and amortization of investments in marketable securities and changes in the fair value of convertible notes. The $11.4 million of net cash provided by changes in operating assets and liabilities primarily reflected an increase of $14.8 million in deferred revenue, an increase of $7.8 million in accounts payable, and a decrease of $2.2 million in accounts and other receivables, partially offset by a decrease of $4.4 million in accrued compensation and other related benefits, a decrease of $4.9 million in operating lease liabilities, a decrease of $0.5 million in accrued expenses and other current liabilities, and an increase of $0.8 million in prepaid expenses and other current assets.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For the six months ended June 30, 2025, net cash used in operating activities was $99.6 million, primarily attributable to our net loss of $116.6 million and $0.5 million of net cash used by changes in operating assets and liabilities, partially offset by non-cash charges of $17.5 million. Non-cash charges primarily included depreciation and amortization, stock-based compensation expense, and amortization of right-of-use assets, partially offset by net accretion and amortization of investments in marketable securities. The $0.5 million of net cash used by changes in operating assets and liabilities primarily reflected decreases of $5.1 million in accrued compensation and other related benefits, a decrease of $1.8 million in accounts payable, and a decrease of $1.2 million in prepaid expenses and other current assets. These changes were partially offset by increases of $0.3 million in accounts and other receivables, an increase of $0.3 million in other long-term assets, and an increase of $7.0 million in operating lease liabilities.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Net cash provided by investing activities was $110.7 million during the six months ended June 30, 2026, and consisted primarily of the net proceeds from maturity and purchase of marketable securities of $123.2 million, offset by $12.5 million used for the purchase of property and equipment.</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Net cash provided by investing activities was $92.7 million during the six months ended June 30, 2025, and consisted primarily of the net proceeds from maturity and purchase of marketable securities of $110.3 million, offset by $17.6 million used for the purchase of property and equipment.</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Net cash used in financing activities was $6.2 million during the six months ended June 30, 2026 and consisted primarily of offering costs paid.</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Net cash used in financing activities was $31,000 during the six months ended June 30, 2025 and consisted primarily of payments made on financing leases, offset by proceeds received from the exercise of stock options.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We have historically financed our operations primarily through the sale of equity securities and the issuance of convertible notes and, to a lesser extent, upfront payments received under licensing arrangements. As of June 30, 2026, we had cash, cash equivalents, and marketable securities of $102.0 million. As of June 30, 2026, the aggregate principal amount outstanding under our convertible notes was $107.2 million. In connection with the closing of the Business Combination, approximately $77.5 million of principal and accrued interest outstanding under the Roche Convertible Note was automatically converted into shares of New Freenome common stock.</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Since our inception, we have incurred significant operating losses and negative cash flows from operations. During the six months ended June 30, 2026, we incurred a net loss of $132.6 million, used $97.1 million of cash in operating activities, and had an accumulated deficit of $1.5 billion.</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Since inception, we have received aggregate gross proceeds of approximately $1.6 billion from the sale of convertible preferred stock in private placements, the issuance of convertible notes, and upfront payments and cost-sharing arrangements under our strategic collaborations. As described above, upon closing of the Business Combination, we received aggregate gross proceeds of $310.7 million, including $240.0 million in gross proceeds from a PIPE financing. After giving effect to transaction costs, New Freenome received net proceeds of approximately $295.5 million.</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As discussed above, in August 2025, we entered into an exclusive license agreement with Exact Sciences to advance the commercialization of our blood-based colorectal cancer screening test. Under the terms of the agreement, we received $75.0 million upfront payment in partial consideration for the rights and licenses granted and are eligible to receive up to $700.0 million upon the achievement of specified development and regulatory milestones. Following the FDA approval of our SimpleScreen CRC test in July 2026, we will receive $100.0 million milestone payment under the agreement. We are also eligible to receive reimbursement of up to $20.0 million per year for mutually agreed development costs over a three-year period.</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Also as discussed above, in November 2025, we entered into an exclusive license and option agreement with Roche Sequencing. Under the agreement, we are eligible to receive up to $100.0 million in milestone payments, as well as royalties on non-U.S. sales of licensed products ranging from the low single digits to the mid-teens, depending on sales levels. We are also eligible to receive up to $24.0 million in future milestone payments related to SBX research and development milestones.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Future Funding Requirements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As of June 30, 2026, we had cash, cash equivalents, and short-term marketable securities of $102.0 million. Based on our current operating plan, we believe that our cash, cash equivalents, and short-term marketable securities as of June 30, 2026, together with the net proceeds from the Business Combination with PSCS described above and the $100.0 million regulatory milestone payment earned following the FDA approval of SimpleScreen CRC under our collaboration and license agreement with Abbott (formerly Exact Sciences), will be sufficient to fund our operations through 2028. This estimate is a forward-looking statement that involves risks and uncertainties, and actual results could differ materially. In addition, the process of commercializing our approved products, conducting preclinical studies and clinical trials, and developing future product candidates is costly, and the timing and extent of related expenditures are uncertain. Accordingly, we may need to raise additional capital in the future.</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Our future capital requirements will depend on many factors, including:</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11" w:name="z0b06f4c371494dfc8457b7de703534a0"/>
      <w:bookmarkStart w:id="212" w:name="z0b06f4c371494dfc8457b7de703534a0"/>
      <w:bookmarkEnd w:id="212"/>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type, number, scope, progress, timing, results, and costs of our discovery activities, preclinical studies, and clinical trials for our current and future products and product candidates;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213" w:name="ze3658ed1760e425a90fee44f60a7ac9c"/>
      <w:bookmarkStart w:id="214" w:name="ze3658ed1760e425a90fee44f60a7ac9c"/>
      <w:bookmarkEnd w:id="214"/>
    </w:p>
    <w:tbl>
      <w:tblPr>
        <w:tblW w:w="9048" w:type="dxa"/>
        <w:jc w:val="left"/>
        <w:tblInd w:w="0" w:type="dxa"/>
        <w:tblLayout w:type="fixed"/>
        <w:tblCellMar>
          <w:top w:w="0" w:type="dxa"/>
          <w:left w:w="0" w:type="dxa"/>
          <w:bottom w:w="0" w:type="dxa"/>
          <w:right w:w="0" w:type="dxa"/>
        </w:tblCellMar>
      </w:tblPr>
      <w:tblGrid>
        <w:gridCol w:w="38"/>
        <w:gridCol w:w="110"/>
        <w:gridCol w:w="890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900" w:type="dxa"/>
            <w:tcBorders/>
            <w:vAlign w:val="center"/>
          </w:tcPr>
          <w:p>
            <w:pPr>
              <w:pStyle w:val="TableContents"/>
              <w:bidi w:val="0"/>
              <w:spacing w:before="0" w:after="0"/>
              <w:jc w:val="left"/>
              <w:rPr/>
            </w:pPr>
            <w:r>
              <w:rPr/>
              <w:t>the costs, timing, and outcome of regulatory review of our current and future product pipeline;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15" w:name="z1c4689889aaa4d89b81629ec62029d49"/>
      <w:bookmarkStart w:id="216" w:name="z1c4689889aaa4d89b81629ec62029d49"/>
      <w:bookmarkEnd w:id="216"/>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timing and terms of establishing and maintaining license, collaboration, and other strategic arrangements;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17" w:name="z1ec25f0bebd9448890eacad242f274c9"/>
      <w:bookmarkStart w:id="218" w:name="z1ec25f0bebd9448890eacad242f274c9"/>
      <w:bookmarkEnd w:id="218"/>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costs of obtaining, maintaining, defending, and enforcing our patents and other intellectual property rights;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19" w:name="zc00b3cf4c162479d881b35fcc4918e74"/>
      <w:bookmarkStart w:id="220" w:name="zc00b3cf4c162479d881b35fcc4918e74"/>
      <w:bookmarkEnd w:id="220"/>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efforts to enhance our operational infrastructure and hire additional personnel to support our obligations as a public company;</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1" w:name="z66af0a3c98de4a8db759a6293ee8c4cb"/>
      <w:bookmarkStart w:id="222" w:name="z66af0a3c98de4a8db759a6293ee8c4cb"/>
      <w:bookmarkEnd w:id="222"/>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the costs associated with expanding our workforce and engaging consultants as our development and commercialization activities increase;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3" w:name="zbc1dc6f4e3664dc8b567fc1f999038ac"/>
      <w:bookmarkStart w:id="224" w:name="zbc1dc6f4e3664dc8b567fc1f999038ac"/>
      <w:bookmarkEnd w:id="224"/>
    </w:p>
    <w:tbl>
      <w:tblPr>
        <w:tblW w:w="10023" w:type="dxa"/>
        <w:jc w:val="left"/>
        <w:tblInd w:w="0" w:type="dxa"/>
        <w:tblLayout w:type="fixed"/>
        <w:tblCellMar>
          <w:top w:w="0" w:type="dxa"/>
          <w:left w:w="0" w:type="dxa"/>
          <w:bottom w:w="0" w:type="dxa"/>
          <w:right w:w="0" w:type="dxa"/>
        </w:tblCellMar>
      </w:tblPr>
      <w:tblGrid>
        <w:gridCol w:w="38"/>
        <w:gridCol w:w="110"/>
        <w:gridCol w:w="987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875" w:type="dxa"/>
            <w:tcBorders/>
            <w:vAlign w:val="center"/>
          </w:tcPr>
          <w:p>
            <w:pPr>
              <w:pStyle w:val="TableContents"/>
              <w:bidi w:val="0"/>
              <w:spacing w:before="0" w:after="0"/>
              <w:jc w:val="left"/>
              <w:rPr/>
            </w:pPr>
            <w:r>
              <w:rPr/>
              <w:t>the costs and timing of establishing or expanding sales and marketing capabilities for approved products;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5" w:name="zab5922c9afee4263aadcab6fe4ab4db1"/>
      <w:bookmarkStart w:id="226" w:name="zab5922c9afee4263aadcab6fe4ab4db1"/>
      <w:bookmarkEnd w:id="226"/>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t>our ability to achieve market acceptance, obtain coverage and adequate reimbursement from third-party payers, and generate sufficient market share and revenue from approved products;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7" w:name="zd4380a7d7947461ea299bddd0e7e1241"/>
      <w:bookmarkStart w:id="228" w:name="zd4380a7d7947461ea299bddd0e7e1241"/>
      <w:bookmarkEnd w:id="228"/>
    </w:p>
    <w:tbl>
      <w:tblPr>
        <w:tblW w:w="10068" w:type="dxa"/>
        <w:jc w:val="left"/>
        <w:tblInd w:w="0" w:type="dxa"/>
        <w:tblLayout w:type="fixed"/>
        <w:tblCellMar>
          <w:top w:w="0" w:type="dxa"/>
          <w:left w:w="0" w:type="dxa"/>
          <w:bottom w:w="0" w:type="dxa"/>
          <w:right w:w="0" w:type="dxa"/>
        </w:tblCellMar>
      </w:tblPr>
      <w:tblGrid>
        <w:gridCol w:w="38"/>
        <w:gridCol w:w="110"/>
        <w:gridCol w:w="99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920" w:type="dxa"/>
            <w:tcBorders/>
            <w:vAlign w:val="center"/>
          </w:tcPr>
          <w:p>
            <w:pPr>
              <w:pStyle w:val="TableContents"/>
              <w:bidi w:val="0"/>
              <w:spacing w:before="0" w:after="0"/>
              <w:jc w:val="left"/>
              <w:rPr/>
            </w:pPr>
            <w:r>
              <w:rPr/>
              <w:t>the costs associated with acquiring or licensing additional products, technologies, or intellectual property.</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Although we have completed the Business Combination and received the related proceeds, and our SimpleScreen CRC test has received FDA approval, we expect to continue to require substantial capital to support the commercialization of our approved product, advance our research and development programs, pursue additional regulatory approvals, expand our commercial infrastructure, and fund our operations. We may seek to finance our future cash needs through equity offerings, debt financings, or other capital sources, including license agreements, royalty financings, collaborations, and other strategic arrangements.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However, we may be unable to raise additional funds or enter into such arrangements when needed on favorable terms, or at all. To the extent that we raise additional capital through the sale of equity or convertible debt securities, the ownership interests of our stockholders may be diluted, and the terms of these securities could include liquidation or other preferences that adversely affect the rights of our common stockholders. Debt and equity financings, if available, may also involve agreements that include covenants restricting our ability to incur additional indebtedness, make capital expenditures, or take other actions.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If we raise additional capital through license agreements, collaborations, or other strategic arrangements with third parties, we may be required to relinquish valuable rights to our technologies, future revenue streams, research programs, approved products, or future product candidates, or grant licenses on terms that may not be favorable to us. Our inability to obtain additional funding or enter into such arrangements when needed could adversely affect our financial condition and our ability to execute our business strategy. If additional capital is unavailable when required, we may be forced to delay, limit, or reduce investments in commercialization activities, research and development programs, or future product development initiatives.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Convertible Notes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As described above, the $50.0 million convertible promissory note issued to Exact Sciences matures in August 2030. Following the Closing of the Business Combination, the note will automatically convert into shares of our common stock on the date on which the volume-weighted average trading price of our common stock exceeds $15.00 per share for 10 consecutive trading days (the “Exact Automatic Conversion Date”). The note is also convertible at the option of Exact Sciences under certain circumstances specified in the note agreement. At a conversion price of $15.00 per share, the note would convert into approximately 3,342,294 shares of our common stock.</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As described above, the $75 million convertible promissory note agreement with Roche Holdings automatically converted into 6,460,616 shares of New Freenome common stock upon the closing of the Business Combination in July 2026.</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Leases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Our lease portfolio consists primarily of operating leases for our current corporate headquarters, laboratory facilities, and warehouse facilities, with lease terms ranging from 1 to 11 years. Under the terms of the leases, as of June 30, 2026, our lease obligations consist of $320.0 million in payments through March 31, 2035.</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Purchase Commitments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As of June 30, 2026, we have entered into a non-cancellable cloud services agreement and committed to purchase cloud computing services totaling $119.1 million through January 31, 2029.</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Our other non-cancellable unconditional purchase commitments with a remaining term over one year were $12.4 million as of June 30, 2026.</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License and Collaboration Agreements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See Notes 6 and 7 to the accompanying unaudited condensed consolidated financial statements for a detailed description of our license and collaboration agreements.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Critical Accounting Policies and Estimates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Our management’s discussion and analysis of our financial condition and results of operations are based on our condensed consolidated financial statements, which are prepared in accordance with GAAP. The preparation of our condensed consolidated financial statements requires us to make estimates and assumptions that affect the reported amounts of assets, liabilities, costs and expenses and the disclosure of contingent assets and liabilities in our consolidated financial statements and accompanying notes. We base our estimates and assumptions on historical experience and other factors that we believe to be reasonable under the circumstances. We evaluate our estimates and judgments on an ongoing basis.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Our significant accounting policies are more fully described in Note 2, "Summary of Significant Accounting Policies," to the audited consolidated financial statements and related notes included elsewhere in this Current Report on Form 8-K. During the three and six months ended June 30, 2026, there were no material changes to our critical accounting policies from those disclosed previously.</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See Note 1, Organization and Summary of Significant Accounting Policies, to our condensed consolidated financial statements included elsewhere in this Current Report.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color w:val="000000"/>
          <w:sz w:val="16"/>
        </w:rPr>
      </w:pPr>
      <w:r>
        <w:rPr>
          <w:rFonts w:ascii="Times New Roman" w:hAnsi="Times New Roman"/>
          <w:color w:val="000000"/>
          <w:sz w:val="16"/>
        </w:rPr>
        <w:t>13</w:t>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229" w:name="ef20080133_ex99-3.htm"/>
      <w:bookmarkStart w:id="230" w:name="ksef20080133_ex993"/>
      <w:bookmarkStart w:id="231" w:name="ef20080133_ex99-3.htm"/>
      <w:bookmarkStart w:id="232" w:name="ksef20080133_ex993"/>
      <w:bookmarkEnd w:id="231"/>
      <w:bookmarkEnd w:id="232"/>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99.3</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UNAUDITED PRO FORMA CONDENSED COMBINED FINANCIAL INFORMATION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i/>
          <w:color w:val="000000"/>
          <w:sz w:val="20"/>
        </w:rPr>
      </w:pPr>
      <w:r>
        <w:rPr>
          <w:rFonts w:ascii="Times New Roman" w:hAnsi="Times New Roman"/>
          <w:i/>
          <w:color w:val="000000"/>
          <w:sz w:val="20"/>
        </w:rPr>
        <w:t>Defined terms included below have the same meaning as terms defined and included in the Current Report on Form 8-K  filed with the Securities and Exchange Commission (the “SEC”) on July 24, 2026 (the “Original Report”) and included elsewhere in this Current Report on Form 8-K/A (“Amendment No. 1”). Unless the context otherwise requires,“Freenome” refers to Freenome Holdings, Inc. prior to the Closing and the “Company” refers to Freenome, Inc. (“New Freenome”) (f/k/a Perceptive Capital Solutions Corp.) and its subsidiaries after the Closing, and Perceptive Capital Solutions Corp. (“PCSC”) prior to the Closing.</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Introduction</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rPr>
      </w:pPr>
      <w:r>
        <w:rPr>
          <w:rFonts w:ascii="Times New Roman" w:hAnsi="Times New Roman"/>
          <w:color w:val="000000"/>
          <w:sz w:val="20"/>
        </w:rPr>
        <w:t>The following unaudited pro forma condensed combined financial information presents the combination of the financial information of Freenome and PCSC adjusted to give effect to the Business Combination. The following unaudited pro forma condensed combined financial information has been prepared in accordance with Article 11 of Regulation S-X.</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rPr>
      </w:pPr>
      <w:r>
        <w:rPr>
          <w:rFonts w:ascii="Times New Roman" w:hAnsi="Times New Roman"/>
          <w:color w:val="000000"/>
          <w:sz w:val="20"/>
        </w:rPr>
        <w:t>The unaudited pro forma condensed combined balance sheet as of June 30, 2026 (the “Unaudited Pro Forma Condensed Combined Balance Sheet”) combines the unaudited condensed consolidated balance sheet of Freenome as of June 30, 2026 and the unaudited condensed consolidated balance sheet of PCSC on a pro forma basis as if the Business Combination had been consummated on June 30, 2026. The unaudited pro forma condensed combined statements of operations for the six months ended June 30, 2026 and year ended December 31, 2025 (the “Unaudited Pro Forma Condensed Combined Statements of Operations”) combines the unaudited condensed consolidated statements of operations of Freenome for the six months ended June 30, 2026, and the unaudited condensed consolidated statements of operations of PCSC for the six months ended June 30, 2026 on a pro forma basis and the audited consolidated statements of operations of Freenome for the year ended December 31, 2025, and the audited consolidated statement of operations of PCSC for the year ended December 31, 2025 on a pro forma basis as if the Business Combination had been consummated on January 1, 2025, the beginning of the earliest period presented. The Unaudited Pro Forma Condensed Combined Balance Sheet as of June 30, 2026 and the Unaudited Pro Forma Condensed Combined Statements of Operations for the six months ended June 30, 2026 and year ended December 31, 2025, together with the accompanying notes, are referenced herein as the “Unaudited Pro Forma Condensed Combined Financial Statements”.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rPr>
      </w:pPr>
      <w:r>
        <w:rPr>
          <w:rFonts w:ascii="Times New Roman" w:hAnsi="Times New Roman"/>
          <w:color w:val="000000"/>
          <w:sz w:val="20"/>
        </w:rPr>
        <w:t>The unaudited pro forma condensed combined financial information has been presented for illustrative purposes only and is not necessarily indicative of the financial position and operating results that would have been achieved had the Business Combination occurred on the dates indicated. The unaudited pro forma condensed combined financial information does not purport to project the future financial position or operating results of New Freenome following the completion of the Business Combination and may not be useful in predicting the future financial condition and results of operations of New Freenome following the Closing. The actual financial position and results of operations may differ significantly from the pro forma amounts reflected in this Current Report on Form 8-K/A due to a variety of factors. Assumptions and estimates underlying the unaudited pro forma adjustments included in the unaudited pro forma condensed combined financial information are described in the accompanying notes. The unaudited pro forma adjustments represent management’s estimates based on information available as of the date on which this unaudited pro forma condensed combined financial information is prepared and are subject to change as additional information becomes available and analyses are performed.</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rPr>
      </w:pPr>
      <w:r>
        <w:rPr>
          <w:rFonts w:ascii="Times New Roman" w:hAnsi="Times New Roman"/>
          <w:color w:val="000000"/>
          <w:sz w:val="20"/>
        </w:rPr>
        <w:t>The unaudited pro forma condensed combined financial information was derived from and should be read together with the accompanying notes to the unaudited pro forma condensed combined financial information and the followings: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33" w:name="z512cad464a07479a8a89bd83028a5f36"/>
      <w:bookmarkStart w:id="234" w:name="z512cad464a07479a8a89bd83028a5f36"/>
      <w:bookmarkEnd w:id="234"/>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0000"/>
              </w:rPr>
            </w:pPr>
            <w:r>
              <w:rPr>
                <w:color w:val="000000"/>
              </w:rPr>
              <w:t>•</w:t>
            </w:r>
          </w:p>
        </w:tc>
        <w:tc>
          <w:tcPr>
            <w:tcW w:w="10020"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Freenome’s unaudited condensed consolidated financial statements as of June 30, 2026 and for the three and six months ended June 30, 2026 and 2025 included as Exhibit 99.1 in this Amendment No. 1;</w:t>
            </w:r>
          </w:p>
        </w:tc>
      </w:tr>
    </w:tbl>
    <w:p>
      <w:pPr>
        <w:pStyle w:val="Normal"/>
        <w:bidi w:val="0"/>
        <w:spacing w:before="0" w:after="0"/>
        <w:jc w:val="left"/>
        <w:rPr>
          <w:sz w:val="4"/>
          <w:szCs w:val="4"/>
        </w:rPr>
      </w:pPr>
      <w:r>
        <w:rPr>
          <w:sz w:val="4"/>
          <w:szCs w:val="4"/>
        </w:rPr>
      </w:r>
      <w:bookmarkStart w:id="235" w:name="z54ffd733f5804c4eb3944254a7204323"/>
      <w:bookmarkStart w:id="236" w:name="z54ffd733f5804c4eb3944254a7204323"/>
      <w:bookmarkEnd w:id="236"/>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Freenome’s Management’s Discussion and Analysis of Financial Condition and Results of Operations  for the three and six months ended June 30, 2026 and 2025 included as Exhibit 99.2 in this Amendment No. 1;</w:t>
            </w:r>
          </w:p>
        </w:tc>
      </w:tr>
    </w:tbl>
    <w:p>
      <w:pPr>
        <w:pStyle w:val="Normal"/>
        <w:bidi w:val="0"/>
        <w:spacing w:before="0" w:after="0"/>
        <w:jc w:val="left"/>
        <w:rPr>
          <w:sz w:val="4"/>
          <w:szCs w:val="4"/>
        </w:rPr>
      </w:pPr>
      <w:r>
        <w:rPr>
          <w:sz w:val="4"/>
          <w:szCs w:val="4"/>
        </w:rPr>
      </w:r>
      <w:bookmarkStart w:id="237" w:name="zd13ab931b01b4cd78e556e03c83645fe"/>
      <w:bookmarkStart w:id="238" w:name="zd13ab931b01b4cd78e556e03c83645fe"/>
      <w:bookmarkEnd w:id="238"/>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PCSC’s unaudited condensed consolidated financial statements as of and for the three and six months ended June 30, 2026 and 2025 as filed with the SEC on Form 10-Q on July 15, 2026;</w:t>
            </w:r>
          </w:p>
        </w:tc>
      </w:tr>
    </w:tbl>
    <w:p>
      <w:pPr>
        <w:pStyle w:val="Normal"/>
        <w:bidi w:val="0"/>
        <w:spacing w:before="0" w:after="0"/>
        <w:jc w:val="left"/>
        <w:rPr>
          <w:sz w:val="4"/>
          <w:szCs w:val="4"/>
        </w:rPr>
      </w:pPr>
      <w:r>
        <w:rPr>
          <w:sz w:val="4"/>
          <w:szCs w:val="4"/>
        </w:rPr>
      </w:r>
      <w:bookmarkStart w:id="239" w:name="z67dd0205d494459ab4d3e047fb6e0b31"/>
      <w:bookmarkStart w:id="240" w:name="z67dd0205d494459ab4d3e047fb6e0b31"/>
      <w:bookmarkEnd w:id="240"/>
    </w:p>
    <w:tbl>
      <w:tblPr>
        <w:tblW w:w="7668" w:type="dxa"/>
        <w:jc w:val="left"/>
        <w:tblInd w:w="0" w:type="dxa"/>
        <w:tblLayout w:type="fixed"/>
        <w:tblCellMar>
          <w:top w:w="0" w:type="dxa"/>
          <w:left w:w="0" w:type="dxa"/>
          <w:bottom w:w="0" w:type="dxa"/>
          <w:right w:w="0" w:type="dxa"/>
        </w:tblCellMar>
      </w:tblPr>
      <w:tblGrid>
        <w:gridCol w:w="38"/>
        <w:gridCol w:w="110"/>
        <w:gridCol w:w="75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7520"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the financial statements of Freenome and PCSC included in the Proxy Statement/Prospectus;</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241" w:name="z53df132a5a794d61a6d008d2c7c9a105"/>
      <w:bookmarkStart w:id="242" w:name="z53df132a5a794d61a6d008d2c7c9a105"/>
      <w:bookmarkEnd w:id="242"/>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the sections titled “</w:t>
            </w:r>
            <w:r>
              <w:rPr>
                <w:rFonts w:ascii="Times New Roman" w:hAnsi="Times New Roman"/>
                <w:i/>
                <w:color w:val="000000"/>
                <w:sz w:val="20"/>
              </w:rPr>
              <w:t xml:space="preserve">Freenome’s Management’s Discussion and Analysis of Financial Condition and Results of Operations” </w:t>
            </w:r>
            <w:r>
              <w:rPr>
                <w:rFonts w:ascii="Times New Roman" w:hAnsi="Times New Roman"/>
                <w:color w:val="000000"/>
                <w:sz w:val="20"/>
              </w:rPr>
              <w:t>and “</w:t>
            </w:r>
            <w:r>
              <w:rPr>
                <w:rFonts w:ascii="Times New Roman" w:hAnsi="Times New Roman"/>
                <w:i/>
                <w:color w:val="000000"/>
                <w:sz w:val="20"/>
              </w:rPr>
              <w:t xml:space="preserve">PCSC’s Management’s Discussion and Analysis of Financial Condition and Results of Operations,” </w:t>
            </w:r>
            <w:r>
              <w:rPr>
                <w:rFonts w:ascii="Times New Roman" w:hAnsi="Times New Roman"/>
                <w:color w:val="000000"/>
                <w:sz w:val="20"/>
              </w:rPr>
              <w:t>and other information relating to Freenome and PCSC contained in the Proxy Statement/Prospectus, including the Business Combination Agreement and the description of certain terms thereof set forth in the section titled “</w:t>
            </w:r>
            <w:r>
              <w:rPr>
                <w:rFonts w:ascii="Times New Roman" w:hAnsi="Times New Roman"/>
                <w:i/>
                <w:color w:val="000000"/>
                <w:sz w:val="20"/>
              </w:rPr>
              <w:t>The Business Combination.”</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Description of the Business Combination</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rPr>
      </w:pPr>
      <w:r>
        <w:rPr>
          <w:rFonts w:ascii="Times New Roman" w:hAnsi="Times New Roman"/>
          <w:color w:val="000000"/>
          <w:sz w:val="20"/>
        </w:rPr>
        <w:t>On the Closing Date, PCSC consummated the previously announced business combination pursuant to the terms of the Business Combination Agreement with Merger Sub I, Merger Sub II, and Freenome. Pursuant to the terms of the Business Combination Agreement, among other things, the following occurred: (1) the Domestication; (2) the Mergers; and (3) the consummation of the other transactions contemplated by the Business Combination Agreement and documents related thereto (such transactions, together with the Domestication and the Mergers, the “Business Combination”). In connection with the consummation of the Business Combination, PCSC changed its corporate name to Freenome, Inc. (“New Freenome”).</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rPr>
      </w:pPr>
      <w:r>
        <w:rPr>
          <w:rFonts w:ascii="Times New Roman" w:hAnsi="Times New Roman"/>
          <w:color w:val="000000"/>
          <w:sz w:val="20"/>
        </w:rPr>
        <w:t>In accordance with the terms and subject to the conditions of the Business Combination Agreement, at the effective time of the First Merger:</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43" w:name="z9588648ddc624a07b98a9f32967e6fd2"/>
      <w:bookmarkStart w:id="244" w:name="z9588648ddc624a07b98a9f32967e6fd2"/>
      <w:bookmarkEnd w:id="244"/>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each share of Freenome’s capital stock that was issued and outstanding as of immediately prior to the Merger Effective Time (excluding treasury shares and dissenting shares) was automatically cancelled and converted into the right to receive a corresponding number of shares of New Freenome Common Stock, equal to the Exchange Ratio of approximately 0.282895;</w:t>
            </w:r>
          </w:p>
        </w:tc>
      </w:tr>
    </w:tbl>
    <w:p>
      <w:pPr>
        <w:pStyle w:val="Normal"/>
        <w:bidi w:val="0"/>
        <w:spacing w:before="0" w:after="0"/>
        <w:jc w:val="left"/>
        <w:rPr>
          <w:sz w:val="4"/>
          <w:szCs w:val="4"/>
        </w:rPr>
      </w:pPr>
      <w:r>
        <w:rPr>
          <w:sz w:val="4"/>
          <w:szCs w:val="4"/>
        </w:rPr>
      </w:r>
      <w:bookmarkStart w:id="245" w:name="z021072eb8ab94b9094c8edfa7066dfda"/>
      <w:bookmarkStart w:id="246" w:name="z021072eb8ab94b9094c8edfa7066dfda"/>
      <w:bookmarkEnd w:id="246"/>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each outstanding and unexercised Freenome Option became a New Freenome Option containing the same terms, conditions, vesting and other provisions as were applicable to such Freenome Options, provided that each New Freenome Option is exercisable for the number of shares of New Freenome Common Stock equal to the Exchange Ratio multiplied by the number of shares of Freenome common stock subject to the Freenome Option as of immediately prior to the Merger Effective Time, rounded down to the nearest whole share, at an exercise price equal to the per share exercise price of the Freenome Option divided by the Exchange Ratio, rounded up to the nearest whole cent;</w:t>
            </w:r>
          </w:p>
        </w:tc>
      </w:tr>
    </w:tbl>
    <w:p>
      <w:pPr>
        <w:pStyle w:val="Normal"/>
        <w:bidi w:val="0"/>
        <w:spacing w:before="0" w:after="0"/>
        <w:jc w:val="left"/>
        <w:rPr>
          <w:sz w:val="4"/>
          <w:szCs w:val="4"/>
        </w:rPr>
      </w:pPr>
      <w:r>
        <w:rPr>
          <w:sz w:val="4"/>
          <w:szCs w:val="4"/>
        </w:rPr>
      </w:r>
      <w:bookmarkStart w:id="247" w:name="zfbaf13735cd349de9e025af269a03002"/>
      <w:bookmarkStart w:id="248" w:name="zfbaf13735cd349de9e025af269a03002"/>
      <w:bookmarkEnd w:id="248"/>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each outstanding and unexercised Freenome Warrant became a warrant of New Freenome containing the same terms, conditions, vesting and other provisions as were applicable to such Freenome Warrant, as adjusted for the Exchange Ratio.</w:t>
            </w:r>
          </w:p>
        </w:tc>
      </w:tr>
    </w:tbl>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rPr>
      </w:pPr>
      <w:r>
        <w:rPr>
          <w:rFonts w:ascii="Times New Roman" w:hAnsi="Times New Roman"/>
          <w:color w:val="000000"/>
          <w:sz w:val="20"/>
        </w:rPr>
        <w:t>In addition, on the Closing Date, the PIPE Investors purchased from New Freenome an aggregate of 24,000,000 shares of New Freenome Common Stock, for a purchase price of $10.00 per share and aggregate proceeds of $240.0 million, pursuant to the Subscription Agreements.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Accounting Treatment of the Business Combination</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rPr>
      </w:pPr>
      <w:r>
        <w:rPr>
          <w:rFonts w:ascii="Times New Roman" w:hAnsi="Times New Roman"/>
          <w:color w:val="000000"/>
          <w:sz w:val="20"/>
        </w:rPr>
        <w:t>The Business Combination was accounted for as a reverse recapitalization in accordance with U.S. GAAP, whereby PCSC was treated as the acquired company and Freenome was treated as the accounting acquirer. Accordingly, for accounting purposes, the Business Combination was treated as the equivalent of Freenome issuing stock for the net assets of PCSC, accompanied by a recapitalization. The net assets of PCSC are recorded at their historical amounts, which approximated fair value, with no goodwill or other intangible assets recorded. Subsequently, results of operations presented for the periods prior to the Business Combination are those of Freenome.</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rPr>
      </w:pPr>
      <w:r>
        <w:rPr>
          <w:rFonts w:ascii="Times New Roman" w:hAnsi="Times New Roman"/>
          <w:color w:val="000000"/>
          <w:sz w:val="20"/>
        </w:rPr>
        <w:t>Freenome was determined to be the accounting acquirer in the Business Combination based on the following predominate factors: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49" w:name="zabc1217d28894656b81f8538ce2e7cbe"/>
      <w:bookmarkStart w:id="250" w:name="zabc1217d28894656b81f8538ce2e7cbe"/>
      <w:bookmarkEnd w:id="250"/>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0000"/>
              </w:rPr>
            </w:pPr>
            <w:r>
              <w:rPr>
                <w:color w:val="000000"/>
              </w:rPr>
              <w:t>•</w:t>
            </w:r>
          </w:p>
        </w:tc>
        <w:tc>
          <w:tcPr>
            <w:tcW w:w="10020"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Freenome’s existing shareholders have the greatest voting interest in the combined entity with approximately 63% of the voting interest;</w:t>
            </w:r>
          </w:p>
        </w:tc>
      </w:tr>
    </w:tbl>
    <w:p>
      <w:pPr>
        <w:pStyle w:val="Normal"/>
        <w:bidi w:val="0"/>
        <w:spacing w:before="0" w:after="0"/>
        <w:jc w:val="left"/>
        <w:rPr>
          <w:sz w:val="4"/>
          <w:szCs w:val="4"/>
        </w:rPr>
      </w:pPr>
      <w:r>
        <w:rPr>
          <w:sz w:val="4"/>
          <w:szCs w:val="4"/>
        </w:rPr>
      </w:r>
      <w:bookmarkStart w:id="251" w:name="zfcc1a0b266f64e5ea13c6e29e3fc9de7"/>
      <w:bookmarkStart w:id="252" w:name="zfcc1a0b266f64e5ea13c6e29e3fc9de7"/>
      <w:bookmarkEnd w:id="252"/>
    </w:p>
    <w:tbl>
      <w:tblPr>
        <w:tblW w:w="8088" w:type="dxa"/>
        <w:jc w:val="left"/>
        <w:tblInd w:w="0" w:type="dxa"/>
        <w:tblLayout w:type="fixed"/>
        <w:tblCellMar>
          <w:top w:w="0" w:type="dxa"/>
          <w:left w:w="0" w:type="dxa"/>
          <w:bottom w:w="0" w:type="dxa"/>
          <w:right w:w="0" w:type="dxa"/>
        </w:tblCellMar>
      </w:tblPr>
      <w:tblGrid>
        <w:gridCol w:w="38"/>
        <w:gridCol w:w="110"/>
        <w:gridCol w:w="79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7940"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Freenome has the ability to designate a majority of the initial members of New Freenome’s Board;</w:t>
            </w:r>
          </w:p>
        </w:tc>
      </w:tr>
    </w:tbl>
    <w:p>
      <w:pPr>
        <w:pStyle w:val="Normal"/>
        <w:bidi w:val="0"/>
        <w:spacing w:before="0" w:after="0"/>
        <w:jc w:val="left"/>
        <w:rPr>
          <w:sz w:val="4"/>
          <w:szCs w:val="4"/>
        </w:rPr>
      </w:pPr>
      <w:r>
        <w:rPr>
          <w:sz w:val="4"/>
          <w:szCs w:val="4"/>
        </w:rPr>
      </w:r>
      <w:bookmarkStart w:id="253" w:name="zb08795fbaa094ea9b10d689733f46919"/>
      <w:bookmarkStart w:id="254" w:name="zb08795fbaa094ea9b10d689733f46919"/>
      <w:bookmarkEnd w:id="254"/>
    </w:p>
    <w:tbl>
      <w:tblPr>
        <w:tblW w:w="6783" w:type="dxa"/>
        <w:jc w:val="left"/>
        <w:tblInd w:w="0" w:type="dxa"/>
        <w:tblLayout w:type="fixed"/>
        <w:tblCellMar>
          <w:top w:w="0" w:type="dxa"/>
          <w:left w:w="0" w:type="dxa"/>
          <w:bottom w:w="0" w:type="dxa"/>
          <w:right w:w="0" w:type="dxa"/>
        </w:tblCellMar>
      </w:tblPr>
      <w:tblGrid>
        <w:gridCol w:w="38"/>
        <w:gridCol w:w="110"/>
        <w:gridCol w:w="663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663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Freenome’s senior management is the senior management of the combined entity;</w:t>
            </w:r>
          </w:p>
        </w:tc>
      </w:tr>
    </w:tbl>
    <w:p>
      <w:pPr>
        <w:pStyle w:val="Normal"/>
        <w:bidi w:val="0"/>
        <w:spacing w:before="0" w:after="0"/>
        <w:jc w:val="left"/>
        <w:rPr>
          <w:sz w:val="4"/>
          <w:szCs w:val="4"/>
        </w:rPr>
      </w:pPr>
      <w:r>
        <w:rPr>
          <w:sz w:val="4"/>
          <w:szCs w:val="4"/>
        </w:rPr>
      </w:r>
      <w:bookmarkStart w:id="255" w:name="zce233c78ea524b9a9bccea7d761f973f"/>
      <w:bookmarkStart w:id="256" w:name="zce233c78ea524b9a9bccea7d761f973f"/>
      <w:bookmarkEnd w:id="256"/>
    </w:p>
    <w:tbl>
      <w:tblPr>
        <w:tblW w:w="8688" w:type="dxa"/>
        <w:jc w:val="left"/>
        <w:tblInd w:w="0" w:type="dxa"/>
        <w:tblLayout w:type="fixed"/>
        <w:tblCellMar>
          <w:top w:w="0" w:type="dxa"/>
          <w:left w:w="0" w:type="dxa"/>
          <w:bottom w:w="0" w:type="dxa"/>
          <w:right w:w="0" w:type="dxa"/>
        </w:tblCellMar>
      </w:tblPr>
      <w:tblGrid>
        <w:gridCol w:w="38"/>
        <w:gridCol w:w="110"/>
        <w:gridCol w:w="85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8540"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Freenome is the larger entity based on historical operating activity and has the larger employee base; and</w:t>
            </w:r>
          </w:p>
        </w:tc>
      </w:tr>
    </w:tbl>
    <w:p>
      <w:pPr>
        <w:pStyle w:val="Normal"/>
        <w:bidi w:val="0"/>
        <w:spacing w:before="0" w:after="0"/>
        <w:jc w:val="left"/>
        <w:rPr>
          <w:sz w:val="4"/>
          <w:szCs w:val="4"/>
        </w:rPr>
      </w:pPr>
      <w:r>
        <w:rPr>
          <w:sz w:val="4"/>
          <w:szCs w:val="4"/>
        </w:rPr>
      </w:r>
      <w:bookmarkStart w:id="257" w:name="zea40759c1cf54e8797ba73abc25034f7"/>
      <w:bookmarkStart w:id="258" w:name="zea40759c1cf54e8797ba73abc25034f7"/>
      <w:bookmarkEnd w:id="258"/>
    </w:p>
    <w:tbl>
      <w:tblPr>
        <w:tblW w:w="6918" w:type="dxa"/>
        <w:jc w:val="left"/>
        <w:tblInd w:w="0" w:type="dxa"/>
        <w:tblLayout w:type="fixed"/>
        <w:tblCellMar>
          <w:top w:w="0" w:type="dxa"/>
          <w:left w:w="0" w:type="dxa"/>
          <w:bottom w:w="0" w:type="dxa"/>
          <w:right w:w="0" w:type="dxa"/>
        </w:tblCellMar>
      </w:tblPr>
      <w:tblGrid>
        <w:gridCol w:w="38"/>
        <w:gridCol w:w="110"/>
        <w:gridCol w:w="677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6770"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The post-combined company assumed a Freenome branded name: “Freenome, Inc.”</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Basis of Pro Forma Presentation</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rPr>
      </w:pPr>
      <w:r>
        <w:rPr>
          <w:rFonts w:ascii="Times New Roman" w:hAnsi="Times New Roman"/>
          <w:color w:val="000000"/>
          <w:sz w:val="20"/>
        </w:rPr>
        <w:t>The unaudited pro forma condensed combined financial information has been prepared in accordance with Article 11 of Regulation S-X. Management has made significant estimates and assumptions in its determination of the pro forma adjustments based on information available as of the date of this Amendment No. 1. As the unaudited pro forma condensed combined financial information has been prepared based on these preliminary estimates, the final amounts recorded may differ materially from the information presented as additional information becomes available. Management considers this basis of presentation to be reasonable under the circumstances.</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rPr>
      </w:pPr>
      <w:r>
        <w:rPr>
          <w:rFonts w:ascii="Times New Roman" w:hAnsi="Times New Roman"/>
          <w:color w:val="000000"/>
          <w:sz w:val="20"/>
        </w:rPr>
        <w:t>In accordance with PCSC’s governing documents, upon the Extension Amendment and upon closing of the Business Combination, PCSC provided the holders of PCSC Class A Shares the right to have all or a portion of their PCSC Class A Shares redeemed for cash, for a per-share price equal to the pro rata portion of the funds then in PCSC’s trust account (including interest not previously released to pay taxes). The unaudited condensed combined pro forma financial statements reflect actual redemptions of 2,146,731 PCSC Class A Shares, of which 754,008 PCSC Class A Shares were redeemed at approximately $10.82 per share, or $8.2 million in the aggregate in connection with the Extension Amendment Proposal and 1,392,723 PCSC Class A Shares were redeemed at approximately $10.86 per share, or $15.1 million in the aggregate in connection with the Closing.</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rPr>
      </w:pPr>
      <w:r>
        <w:rPr>
          <w:rFonts w:ascii="Times New Roman" w:hAnsi="Times New Roman"/>
          <w:color w:val="000000"/>
          <w:sz w:val="20"/>
        </w:rPr>
        <w:t>The unaudited pro forma condensed combined financial information gives effect to the Business Combination and related transactions, including:</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59" w:name="zd790746827884c55917d490b2a4b69de"/>
      <w:bookmarkStart w:id="260" w:name="zd790746827884c55917d490b2a4b69de"/>
      <w:bookmarkEnd w:id="260"/>
    </w:p>
    <w:tbl>
      <w:tblPr>
        <w:tblW w:w="1938" w:type="dxa"/>
        <w:jc w:val="left"/>
        <w:tblInd w:w="0" w:type="dxa"/>
        <w:tblLayout w:type="fixed"/>
        <w:tblCellMar>
          <w:top w:w="0" w:type="dxa"/>
          <w:left w:w="0" w:type="dxa"/>
          <w:bottom w:w="0" w:type="dxa"/>
          <w:right w:w="0" w:type="dxa"/>
        </w:tblCellMar>
      </w:tblPr>
      <w:tblGrid>
        <w:gridCol w:w="38"/>
        <w:gridCol w:w="110"/>
        <w:gridCol w:w="179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790"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The PIPE Investment;</w:t>
            </w:r>
          </w:p>
        </w:tc>
      </w:tr>
    </w:tbl>
    <w:p>
      <w:pPr>
        <w:pStyle w:val="Normal"/>
        <w:bidi w:val="0"/>
        <w:spacing w:before="0" w:after="0"/>
        <w:jc w:val="left"/>
        <w:rPr>
          <w:sz w:val="4"/>
          <w:szCs w:val="4"/>
        </w:rPr>
      </w:pPr>
      <w:r>
        <w:rPr>
          <w:sz w:val="4"/>
          <w:szCs w:val="4"/>
        </w:rPr>
      </w:r>
      <w:bookmarkStart w:id="261" w:name="zb5c74a8dfa434abbb384eb54e4934c74"/>
      <w:bookmarkStart w:id="262" w:name="zb5c74a8dfa434abbb384eb54e4934c74"/>
      <w:bookmarkEnd w:id="262"/>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The conversion of Roche Convertible Note (including principal and accrued interest) into shares of New Freenome Common Stock;</w:t>
            </w:r>
          </w:p>
        </w:tc>
      </w:tr>
    </w:tbl>
    <w:p>
      <w:pPr>
        <w:pStyle w:val="Normal"/>
        <w:bidi w:val="0"/>
        <w:spacing w:before="0" w:after="0"/>
        <w:jc w:val="left"/>
        <w:rPr>
          <w:sz w:val="4"/>
          <w:szCs w:val="4"/>
        </w:rPr>
      </w:pPr>
      <w:r>
        <w:rPr>
          <w:sz w:val="4"/>
          <w:szCs w:val="4"/>
        </w:rPr>
      </w:r>
      <w:bookmarkStart w:id="263" w:name="z259bbdc365974fa68e183a2e4e867e1f"/>
      <w:bookmarkStart w:id="264" w:name="z259bbdc365974fa68e183a2e4e867e1f"/>
      <w:bookmarkEnd w:id="264"/>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Incremental compensation expense associated with the grant of Anti-Dilution Equity Awards and vested restricted stock units;</w:t>
            </w:r>
          </w:p>
        </w:tc>
      </w:tr>
    </w:tbl>
    <w:p>
      <w:pPr>
        <w:pStyle w:val="Normal"/>
        <w:bidi w:val="0"/>
        <w:spacing w:before="0" w:after="0"/>
        <w:jc w:val="left"/>
        <w:rPr>
          <w:sz w:val="4"/>
          <w:szCs w:val="4"/>
        </w:rPr>
      </w:pPr>
      <w:r>
        <w:rPr>
          <w:sz w:val="4"/>
          <w:szCs w:val="4"/>
        </w:rPr>
      </w:r>
      <w:bookmarkStart w:id="265" w:name="z1413de2e7e7840b3bd51a97ce4d0e8db"/>
      <w:bookmarkStart w:id="266" w:name="z1413de2e7e7840b3bd51a97ce4d0e8db"/>
      <w:bookmarkEnd w:id="266"/>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The conversion of each issued and outstanding PCSC Class A Share and PCSC Class B Share and each outstanding preference share of PCSC (if any) into New Freenome Common Stock; and</w:t>
            </w:r>
          </w:p>
        </w:tc>
      </w:tr>
    </w:tbl>
    <w:p>
      <w:pPr>
        <w:pStyle w:val="Normal"/>
        <w:bidi w:val="0"/>
        <w:spacing w:before="0" w:after="0"/>
        <w:jc w:val="left"/>
        <w:rPr>
          <w:sz w:val="4"/>
          <w:szCs w:val="4"/>
        </w:rPr>
      </w:pPr>
      <w:r>
        <w:rPr>
          <w:sz w:val="4"/>
          <w:szCs w:val="4"/>
        </w:rPr>
      </w:r>
      <w:bookmarkStart w:id="267" w:name="z5da805ce23bf49528b73020a68d674e7"/>
      <w:bookmarkStart w:id="268" w:name="z5da805ce23bf49528b73020a68d674e7"/>
      <w:bookmarkEnd w:id="268"/>
    </w:p>
    <w:tbl>
      <w:tblPr>
        <w:tblW w:w="6618" w:type="dxa"/>
        <w:jc w:val="left"/>
        <w:tblInd w:w="0" w:type="dxa"/>
        <w:tblLayout w:type="fixed"/>
        <w:tblCellMar>
          <w:top w:w="0" w:type="dxa"/>
          <w:left w:w="0" w:type="dxa"/>
          <w:bottom w:w="0" w:type="dxa"/>
          <w:right w:w="0" w:type="dxa"/>
        </w:tblCellMar>
      </w:tblPr>
      <w:tblGrid>
        <w:gridCol w:w="38"/>
        <w:gridCol w:w="110"/>
        <w:gridCol w:w="647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6470"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The issuance of New Freenome Common Stock in connection with the Mergers.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following summarizes the pro forma capitalization of the post-combination company immediately following the Closing:</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69" w:name="z12bf73c3ab1e4853895edd47063b688b"/>
      <w:bookmarkStart w:id="270" w:name="z12bf73c3ab1e4853895edd47063b688b"/>
      <w:bookmarkEnd w:id="270"/>
    </w:p>
    <w:tbl>
      <w:tblPr>
        <w:tblW w:w="5855" w:type="dxa"/>
        <w:jc w:val="left"/>
        <w:tblInd w:w="0" w:type="dxa"/>
        <w:tblLayout w:type="fixed"/>
        <w:tblCellMar>
          <w:top w:w="0" w:type="dxa"/>
          <w:left w:w="0" w:type="dxa"/>
          <w:bottom w:w="0" w:type="dxa"/>
          <w:right w:w="0" w:type="dxa"/>
        </w:tblCellMar>
      </w:tblPr>
      <w:tblGrid>
        <w:gridCol w:w="3380"/>
        <w:gridCol w:w="60"/>
        <w:gridCol w:w="82"/>
        <w:gridCol w:w="1453"/>
        <w:gridCol w:w="60"/>
        <w:gridCol w:w="60"/>
        <w:gridCol w:w="60"/>
        <w:gridCol w:w="485"/>
        <w:gridCol w:w="215"/>
      </w:tblGrid>
      <w:tr>
        <w:trPr/>
        <w:tc>
          <w:tcPr>
            <w:tcW w:w="33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5" w:type="dxa"/>
            <w:gridSpan w:val="2"/>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Number of 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45" w:type="dxa"/>
            <w:gridSpan w:val="2"/>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w:t>
            </w:r>
          </w:p>
        </w:tc>
        <w:tc>
          <w:tcPr>
            <w:tcW w:w="215" w:type="dxa"/>
            <w:tcBorders/>
            <w:vAlign w:val="bottom"/>
          </w:tcPr>
          <w:p>
            <w:pPr>
              <w:pStyle w:val="TableContents"/>
              <w:bidi w:val="0"/>
              <w:spacing w:before="0" w:after="283"/>
              <w:jc w:val="left"/>
              <w:rPr/>
            </w:pPr>
            <w:r>
              <w:rPr/>
              <w:t> </w:t>
            </w:r>
          </w:p>
        </w:tc>
      </w:tr>
      <w:tr>
        <w:trPr/>
        <w:tc>
          <w:tcPr>
            <w:tcW w:w="33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Freenome equity holders (1)</w:t>
            </w:r>
          </w:p>
        </w:tc>
        <w:tc>
          <w:tcPr>
            <w:tcW w:w="6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5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68,065,429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63.4</w:t>
            </w:r>
          </w:p>
        </w:tc>
        <w:tc>
          <w:tcPr>
            <w:tcW w:w="21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3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PCSC’s public stockholders (2)</w:t>
            </w:r>
          </w:p>
        </w:tc>
        <w:tc>
          <w:tcPr>
            <w:tcW w:w="6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5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6,478,269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w:t>
            </w:r>
          </w:p>
        </w:tc>
        <w:tc>
          <w:tcPr>
            <w:tcW w:w="21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3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Holders of PCSC’s sponsor shares (3)</w:t>
            </w:r>
          </w:p>
        </w:tc>
        <w:tc>
          <w:tcPr>
            <w:tcW w:w="6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5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2,442,500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w:t>
            </w:r>
          </w:p>
        </w:tc>
        <w:tc>
          <w:tcPr>
            <w:tcW w:w="21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3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PIPE Investors (4)</w:t>
            </w:r>
          </w:p>
        </w:tc>
        <w:tc>
          <w:tcPr>
            <w:tcW w:w="6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5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24,000,000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22.3</w:t>
            </w:r>
          </w:p>
        </w:tc>
        <w:tc>
          <w:tcPr>
            <w:tcW w:w="21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3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Roche convertible note</w:t>
            </w:r>
          </w:p>
        </w:tc>
        <w:tc>
          <w:tcPr>
            <w:tcW w:w="6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5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6,460,616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w:t>
            </w:r>
          </w:p>
        </w:tc>
        <w:tc>
          <w:tcPr>
            <w:tcW w:w="21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380"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Pro Forma Common Stock Outstanding</w:t>
            </w:r>
          </w:p>
        </w:tc>
        <w:tc>
          <w:tcPr>
            <w:tcW w:w="6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53" w:type="dxa"/>
            <w:tcBorders/>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107,446,814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100.0</w:t>
            </w:r>
          </w:p>
        </w:tc>
        <w:tc>
          <w:tcPr>
            <w:tcW w:w="215"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71" w:name="z9401c10d7db1454c9c9d9c532ff15d82"/>
      <w:bookmarkStart w:id="272" w:name="z9401c10d7db1454c9c9d9c532ff15d82"/>
      <w:bookmarkEnd w:id="272"/>
    </w:p>
    <w:tbl>
      <w:tblPr>
        <w:tblW w:w="10205" w:type="dxa"/>
        <w:jc w:val="left"/>
        <w:tblInd w:w="0" w:type="dxa"/>
        <w:tblLayout w:type="fixed"/>
        <w:tblCellMar>
          <w:top w:w="0" w:type="dxa"/>
          <w:left w:w="0" w:type="dxa"/>
          <w:bottom w:w="0" w:type="dxa"/>
          <w:right w:w="0" w:type="dxa"/>
        </w:tblCellMar>
      </w:tblPr>
      <w:tblGrid>
        <w:gridCol w:w="75"/>
        <w:gridCol w:w="214"/>
        <w:gridCol w:w="9916"/>
      </w:tblGrid>
      <w:tr>
        <w:trPr/>
        <w:tc>
          <w:tcPr>
            <w:tcW w:w="75"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9916"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Amount excludes 2,833,838 Freenome restricted stock units that will vest following the Closing. Includes 5,371,847 shares of New Freenome Common Stock issued to the Perceptive PIPE Investor upon conversion of Freenome capital stock.</w:t>
            </w:r>
          </w:p>
        </w:tc>
      </w:tr>
    </w:tbl>
    <w:p>
      <w:pPr>
        <w:pStyle w:val="Normal"/>
        <w:bidi w:val="0"/>
        <w:spacing w:before="0" w:after="0"/>
        <w:jc w:val="left"/>
        <w:rPr>
          <w:sz w:val="4"/>
          <w:szCs w:val="4"/>
        </w:rPr>
      </w:pPr>
      <w:r>
        <w:rPr>
          <w:sz w:val="4"/>
          <w:szCs w:val="4"/>
        </w:rPr>
      </w:r>
      <w:bookmarkStart w:id="273" w:name="z7fbd6467181c4ed892938b063eda20a8"/>
      <w:bookmarkStart w:id="274" w:name="z7fbd6467181c4ed892938b063eda20a8"/>
      <w:bookmarkEnd w:id="274"/>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pPr>
            <w:r>
              <w:rPr/>
            </w:r>
          </w:p>
        </w:tc>
        <w:tc>
          <w:tcPr>
            <w:tcW w:w="23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99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Reflects 7,870,992 PCSC Class A Shares outstanding as of June 30, 2026, less 1,392,723 PCSC Class A Shares redeemed in connection with the Closing.</w:t>
            </w:r>
          </w:p>
        </w:tc>
      </w:tr>
    </w:tbl>
    <w:p>
      <w:pPr>
        <w:pStyle w:val="Normal"/>
        <w:bidi w:val="0"/>
        <w:spacing w:before="0" w:after="0"/>
        <w:jc w:val="left"/>
        <w:rPr>
          <w:sz w:val="4"/>
          <w:szCs w:val="4"/>
        </w:rPr>
      </w:pPr>
      <w:r>
        <w:rPr>
          <w:sz w:val="4"/>
          <w:szCs w:val="4"/>
        </w:rPr>
      </w:r>
      <w:bookmarkStart w:id="275" w:name="z5ac6a2a811324f82a6333c3950d7d1ad"/>
      <w:bookmarkStart w:id="276" w:name="z5ac6a2a811324f82a6333c3950d7d1ad"/>
      <w:bookmarkEnd w:id="276"/>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pPr>
            <w:r>
              <w:rPr/>
            </w:r>
          </w:p>
        </w:tc>
        <w:tc>
          <w:tcPr>
            <w:tcW w:w="22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9944"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Includes 2,066,250 PCSC Class B Shares and 286,250 PCSC Class A private placement shares held by the Sponsor and 90,000 PCSC Class B Shares held by PCSC independent directors.</w:t>
            </w:r>
          </w:p>
        </w:tc>
      </w:tr>
    </w:tbl>
    <w:p>
      <w:pPr>
        <w:pStyle w:val="Normal"/>
        <w:bidi w:val="0"/>
        <w:spacing w:before="0" w:after="0"/>
        <w:jc w:val="left"/>
        <w:rPr>
          <w:sz w:val="4"/>
          <w:szCs w:val="4"/>
        </w:rPr>
      </w:pPr>
      <w:r>
        <w:rPr>
          <w:sz w:val="4"/>
          <w:szCs w:val="4"/>
        </w:rPr>
      </w:r>
      <w:bookmarkStart w:id="277" w:name="z13e06431f1cc44d6bc24c5c6363a7801"/>
      <w:bookmarkStart w:id="278" w:name="z13e06431f1cc44d6bc24c5c6363a7801"/>
      <w:bookmarkEnd w:id="278"/>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pPr>
            <w:r>
              <w:rPr/>
            </w:r>
          </w:p>
        </w:tc>
        <w:tc>
          <w:tcPr>
            <w:tcW w:w="2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w:t>
            </w:r>
          </w:p>
        </w:tc>
        <w:tc>
          <w:tcPr>
            <w:tcW w:w="9946"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Includes 5,500,000 PIPE Shares issued to the Perceptive PIPE Investor, 5,255,376 PIPE Shares issued to a Freenome equity holder and 13,244,624 PIPE Shares issued to third-party PIPE Investors.</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UNAUDITED PRO FORMA CONDENSED COMBINED BALANCE SHEET</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AS OF JUNE 30, 2026</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 thousands)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79" w:name="z4f6c10bd10e8441bb2906c3a950f3528"/>
      <w:bookmarkStart w:id="280" w:name="z4f6c10bd10e8441bb2906c3a950f3528"/>
      <w:bookmarkEnd w:id="280"/>
    </w:p>
    <w:tbl>
      <w:tblPr>
        <w:tblW w:w="10920" w:type="dxa"/>
        <w:jc w:val="left"/>
        <w:tblInd w:w="0" w:type="dxa"/>
        <w:tblLayout w:type="fixed"/>
        <w:tblCellMar>
          <w:top w:w="0" w:type="dxa"/>
          <w:left w:w="0" w:type="dxa"/>
          <w:bottom w:w="0" w:type="dxa"/>
          <w:right w:w="0" w:type="dxa"/>
        </w:tblCellMar>
      </w:tblPr>
      <w:tblGrid>
        <w:gridCol w:w="6005"/>
        <w:gridCol w:w="60"/>
        <w:gridCol w:w="125"/>
        <w:gridCol w:w="905"/>
        <w:gridCol w:w="80"/>
        <w:gridCol w:w="60"/>
        <w:gridCol w:w="163"/>
        <w:gridCol w:w="772"/>
        <w:gridCol w:w="80"/>
        <w:gridCol w:w="60"/>
        <w:gridCol w:w="128"/>
        <w:gridCol w:w="927"/>
        <w:gridCol w:w="80"/>
        <w:gridCol w:w="305"/>
        <w:gridCol w:w="60"/>
        <w:gridCol w:w="125"/>
        <w:gridCol w:w="905"/>
        <w:gridCol w:w="80"/>
      </w:tblGrid>
      <w:tr>
        <w:trPr/>
        <w:tc>
          <w:tcPr>
            <w:tcW w:w="6005" w:type="dxa"/>
            <w:tcBorders/>
            <w:vAlign w:val="bottom"/>
          </w:tcPr>
          <w:p>
            <w:pPr>
              <w:pStyle w:val="TableContents"/>
              <w:bidi w:val="0"/>
              <w:spacing w:before="0" w:after="0"/>
              <w:ind w:left="144" w:right="0" w:hanging="144"/>
              <w:jc w:val="left"/>
              <w:rPr>
                <w:color w:val="000000"/>
              </w:rPr>
            </w:pPr>
            <w:r>
              <w:rPr>
                <w:color w:val="000000"/>
              </w:rPr>
              <w:t> </w:t>
            </w:r>
          </w:p>
          <w:p>
            <w:pPr>
              <w:pStyle w:val="TableContents"/>
              <w:bidi w:val="0"/>
              <w:spacing w:before="0" w:after="0"/>
              <w:ind w:left="144" w:right="0" w:hanging="144"/>
              <w:jc w:val="left"/>
              <w:rPr>
                <w:color w:val="000000"/>
              </w:rPr>
            </w:pPr>
            <w:r>
              <w:rPr>
                <w:color w:val="000000"/>
              </w:rPr>
              <w:t> </w:t>
            </w:r>
          </w:p>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r>
          </w:p>
          <w:p>
            <w:pPr>
              <w:pStyle w:val="TableContents"/>
              <w:bidi w:val="0"/>
              <w:spacing w:before="0" w:after="0"/>
              <w:ind w:left="144" w:right="0" w:hanging="144"/>
              <w:jc w:val="left"/>
              <w:rPr>
                <w:color w:val="000000"/>
              </w:rPr>
            </w:pPr>
            <w:r>
              <w:rPr>
                <w:color w:val="000000"/>
              </w:rPr>
              <w:t> </w:t>
            </w:r>
          </w:p>
        </w:tc>
        <w:tc>
          <w:tcPr>
            <w:tcW w:w="60" w:type="dxa"/>
            <w:tcBorders/>
            <w:vAlign w:val="bottom"/>
          </w:tcPr>
          <w:p>
            <w:pPr>
              <w:pStyle w:val="TableContents"/>
              <w:bidi w:val="0"/>
              <w:spacing w:before="0" w:after="283"/>
              <w:jc w:val="left"/>
              <w:rPr/>
            </w:pPr>
            <w:r>
              <w:rPr/>
            </w:r>
          </w:p>
        </w:tc>
        <w:tc>
          <w:tcPr>
            <w:tcW w:w="1030" w:type="dxa"/>
            <w:gridSpan w:val="2"/>
            <w:tcBorders>
              <w:bottom w:val="single" w:sz="12" w:space="0" w:color="000000"/>
            </w:tcBorders>
            <w:tcMar>
              <w:bottom w:w="28" w:type="dxa"/>
            </w:tcMar>
            <w:vAlign w:val="bottom"/>
          </w:tcPr>
          <w:p>
            <w:pPr>
              <w:pStyle w:val="TableContents"/>
              <w:bidi w:val="0"/>
              <w:spacing w:before="0" w:after="0"/>
              <w:jc w:val="left"/>
              <w:rPr/>
            </w:pPr>
            <w:r>
              <w:rPr/>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Freenome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(Historical)</w:t>
            </w:r>
          </w:p>
        </w:tc>
        <w:tc>
          <w:tcPr>
            <w:tcW w:w="8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r>
          </w:p>
        </w:tc>
        <w:tc>
          <w:tcPr>
            <w:tcW w:w="935" w:type="dxa"/>
            <w:gridSpan w:val="2"/>
            <w:tcBorders>
              <w:bottom w:val="single" w:sz="12" w:space="0" w:color="000000"/>
            </w:tcBorders>
            <w:tcMar>
              <w:bottom w:w="28" w:type="dxa"/>
            </w:tcMar>
            <w:vAlign w:val="bottom"/>
          </w:tcPr>
          <w:p>
            <w:pPr>
              <w:pStyle w:val="TableContents"/>
              <w:bidi w:val="0"/>
              <w:spacing w:before="0" w:after="0"/>
              <w:jc w:val="left"/>
              <w:rPr/>
            </w:pPr>
            <w:r>
              <w:rPr/>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PCSC</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(Historical)</w:t>
            </w:r>
          </w:p>
        </w:tc>
        <w:tc>
          <w:tcPr>
            <w:tcW w:w="8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r>
          </w:p>
        </w:tc>
        <w:tc>
          <w:tcPr>
            <w:tcW w:w="105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Transaction</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Accounting</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Adjustments</w:t>
            </w:r>
          </w:p>
          <w:p>
            <w:pPr>
              <w:pStyle w:val="TableContents"/>
              <w:bidi w:val="0"/>
              <w:spacing w:before="0" w:after="0"/>
              <w:jc w:val="center"/>
              <w:rPr>
                <w:rFonts w:ascii="Times New Roman" w:hAnsi="Times New Roman"/>
                <w:b/>
                <w:sz w:val="20"/>
              </w:rPr>
            </w:pPr>
            <w:r>
              <w:rPr>
                <w:rFonts w:ascii="Times New Roman" w:hAnsi="Times New Roman"/>
                <w:b/>
                <w:sz w:val="20"/>
              </w:rPr>
              <w:t>(Note 2)</w:t>
            </w:r>
          </w:p>
        </w:tc>
        <w:tc>
          <w:tcPr>
            <w:tcW w:w="80" w:type="dxa"/>
            <w:tcBorders/>
            <w:vAlign w:val="bottom"/>
          </w:tcPr>
          <w:p>
            <w:pPr>
              <w:pStyle w:val="TableContents"/>
              <w:bidi w:val="0"/>
              <w:spacing w:before="0" w:after="283"/>
              <w:jc w:val="left"/>
              <w:rPr/>
            </w:pPr>
            <w:r>
              <w:rPr/>
            </w:r>
          </w:p>
        </w:tc>
        <w:tc>
          <w:tcPr>
            <w:tcW w:w="305" w:type="dxa"/>
            <w:tcBorders/>
            <w:vAlign w:val="bottom"/>
          </w:tcPr>
          <w:p>
            <w:pPr>
              <w:pStyle w:val="TableContents"/>
              <w:bidi w:val="0"/>
              <w:spacing w:before="0" w:after="0"/>
              <w:jc w:val="center"/>
              <w:rPr/>
            </w:pPr>
            <w:r>
              <w:rPr/>
              <w:t> </w:t>
            </w:r>
          </w:p>
          <w:p>
            <w:pPr>
              <w:pStyle w:val="TableContents"/>
              <w:bidi w:val="0"/>
              <w:spacing w:before="0" w:after="0"/>
              <w:jc w:val="left"/>
              <w:rPr/>
            </w:pPr>
            <w:r>
              <w:rPr/>
            </w:r>
          </w:p>
          <w:p>
            <w:pPr>
              <w:pStyle w:val="TableContents"/>
              <w:bidi w:val="0"/>
              <w:spacing w:before="0" w:after="0"/>
              <w:jc w:val="center"/>
              <w:rPr/>
            </w:pPr>
            <w:r>
              <w:rPr/>
              <w:t> </w:t>
            </w:r>
          </w:p>
          <w:p>
            <w:pPr>
              <w:pStyle w:val="TableContents"/>
              <w:bidi w:val="0"/>
              <w:spacing w:before="0" w:after="0"/>
              <w:jc w:val="left"/>
              <w:rPr/>
            </w:pPr>
            <w:r>
              <w:rPr/>
            </w:r>
          </w:p>
        </w:tc>
        <w:tc>
          <w:tcPr>
            <w:tcW w:w="60" w:type="dxa"/>
            <w:tcBorders/>
            <w:vAlign w:val="bottom"/>
          </w:tcPr>
          <w:p>
            <w:pPr>
              <w:pStyle w:val="TableContents"/>
              <w:bidi w:val="0"/>
              <w:spacing w:before="0" w:after="283"/>
              <w:jc w:val="left"/>
              <w:rPr/>
            </w:pPr>
            <w:r>
              <w:rPr/>
            </w:r>
          </w:p>
        </w:tc>
        <w:tc>
          <w:tcPr>
            <w:tcW w:w="1030" w:type="dxa"/>
            <w:gridSpan w:val="2"/>
            <w:tcBorders>
              <w:bottom w:val="single" w:sz="12" w:space="0" w:color="000000"/>
            </w:tcBorders>
            <w:tcMar>
              <w:bottom w:w="28" w:type="dxa"/>
            </w:tcMar>
            <w:vAlign w:val="bottom"/>
          </w:tcPr>
          <w:p>
            <w:pPr>
              <w:pStyle w:val="TableContents"/>
              <w:bidi w:val="0"/>
              <w:spacing w:before="0" w:after="0"/>
              <w:jc w:val="left"/>
              <w:rPr/>
            </w:pPr>
            <w:r>
              <w:rPr/>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Pro Forma</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Combined</w:t>
            </w:r>
          </w:p>
        </w:tc>
        <w:tc>
          <w:tcPr>
            <w:tcW w:w="80" w:type="dxa"/>
            <w:tcBorders/>
            <w:vAlign w:val="bottom"/>
          </w:tcPr>
          <w:p>
            <w:pPr>
              <w:pStyle w:val="TableContents"/>
              <w:bidi w:val="0"/>
              <w:spacing w:before="0" w:after="283"/>
              <w:jc w:val="left"/>
              <w:rPr/>
            </w:pPr>
            <w:r>
              <w:rPr/>
            </w:r>
          </w:p>
        </w:tc>
      </w:tr>
      <w:tr>
        <w:trPr/>
        <w:tc>
          <w:tcPr>
            <w:tcW w:w="600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60" w:type="dxa"/>
            <w:tcBorders/>
            <w:shd w:fill="CCEEFF" w:val="clear"/>
            <w:vAlign w:val="bottom"/>
          </w:tcPr>
          <w:p>
            <w:pPr>
              <w:pStyle w:val="TableContents"/>
              <w:bidi w:val="0"/>
              <w:spacing w:before="0" w:after="283"/>
              <w:jc w:val="left"/>
              <w:rPr/>
            </w:pPr>
            <w:r>
              <w:rPr/>
              <w:t> </w:t>
            </w:r>
          </w:p>
        </w:tc>
        <w:tc>
          <w:tcPr>
            <w:tcW w:w="1030" w:type="dxa"/>
            <w:gridSpan w:val="2"/>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5" w:type="dxa"/>
            <w:gridSpan w:val="2"/>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gridSpan w:val="2"/>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0"/>
              <w:jc w:val="center"/>
              <w:rPr/>
            </w:pPr>
            <w:r>
              <w:rPr/>
              <w:t> </w:t>
            </w:r>
          </w:p>
        </w:tc>
        <w:tc>
          <w:tcPr>
            <w:tcW w:w="60" w:type="dxa"/>
            <w:tcBorders/>
            <w:shd w:fill="CCEEFF" w:val="clear"/>
            <w:vAlign w:val="bottom"/>
          </w:tcPr>
          <w:p>
            <w:pPr>
              <w:pStyle w:val="TableContents"/>
              <w:bidi w:val="0"/>
              <w:spacing w:before="0" w:after="283"/>
              <w:jc w:val="left"/>
              <w:rPr/>
            </w:pPr>
            <w:r>
              <w:rPr/>
              <w:t> </w:t>
            </w:r>
          </w:p>
        </w:tc>
        <w:tc>
          <w:tcPr>
            <w:tcW w:w="1030" w:type="dxa"/>
            <w:gridSpan w:val="2"/>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60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85,467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7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437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2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69,967</w:t>
            </w:r>
          </w:p>
        </w:tc>
        <w:tc>
          <w:tcPr>
            <w:tcW w:w="8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0"/>
              <w:jc w:val="center"/>
              <w:rPr/>
            </w:pPr>
            <w:r>
              <w:rPr/>
              <w:t> </w:t>
            </w:r>
            <w:r>
              <w:rPr>
                <w:rFonts w:ascii="Times New Roman" w:hAnsi="Times New Roman"/>
                <w:sz w:val="20"/>
              </w:rPr>
              <w:t>(b)</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377,344</w:t>
            </w:r>
          </w:p>
        </w:tc>
        <w:tc>
          <w:tcPr>
            <w:tcW w:w="80" w:type="dxa"/>
            <w:tcBorders/>
            <w:vAlign w:val="bottom"/>
          </w:tcPr>
          <w:p>
            <w:pPr>
              <w:pStyle w:val="TableContents"/>
              <w:bidi w:val="0"/>
              <w:spacing w:before="0" w:after="283"/>
              <w:jc w:val="left"/>
              <w:rPr/>
            </w:pPr>
            <w:r>
              <w:rPr/>
              <w:t> </w:t>
            </w:r>
          </w:p>
        </w:tc>
      </w:tr>
      <w:tr>
        <w:trPr/>
        <w:tc>
          <w:tcPr>
            <w:tcW w:w="6005"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(3,450</w:t>
            </w:r>
          </w:p>
        </w:tc>
        <w:tc>
          <w:tcPr>
            <w:tcW w:w="8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305" w:type="dxa"/>
            <w:tcBorders/>
            <w:shd w:fill="FFFFFF" w:val="clear"/>
            <w:vAlign w:val="center"/>
          </w:tcPr>
          <w:p>
            <w:pPr>
              <w:pStyle w:val="TableContents"/>
              <w:bidi w:val="0"/>
              <w:spacing w:before="0" w:after="0"/>
              <w:jc w:val="center"/>
              <w:rPr/>
            </w:pPr>
            <w:r>
              <w:rPr/>
              <w:t> </w:t>
            </w:r>
            <w:r>
              <w:rPr>
                <w:rFonts w:ascii="Times New Roman" w:hAnsi="Times New Roman"/>
                <w:sz w:val="20"/>
              </w:rPr>
              <w:t>(c)</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005"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240,000</w:t>
            </w:r>
          </w:p>
        </w:tc>
        <w:tc>
          <w:tcPr>
            <w:tcW w:w="8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0"/>
              <w:jc w:val="center"/>
              <w:rPr/>
            </w:pPr>
            <w:r>
              <w:rPr/>
              <w:t> </w:t>
            </w:r>
            <w:r>
              <w:rPr>
                <w:rFonts w:ascii="Times New Roman" w:hAnsi="Times New Roman"/>
                <w:sz w:val="20"/>
              </w:rPr>
              <w:t>(d)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005"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(15,077</w:t>
            </w:r>
          </w:p>
        </w:tc>
        <w:tc>
          <w:tcPr>
            <w:tcW w:w="8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305" w:type="dxa"/>
            <w:tcBorders/>
            <w:shd w:fill="FFFFFF" w:val="clear"/>
            <w:vAlign w:val="center"/>
          </w:tcPr>
          <w:p>
            <w:pPr>
              <w:pStyle w:val="TableContents"/>
              <w:bidi w:val="0"/>
              <w:spacing w:before="0" w:after="0"/>
              <w:jc w:val="center"/>
              <w:rPr/>
            </w:pPr>
            <w:r>
              <w:rPr/>
              <w:t> </w:t>
            </w:r>
            <w:r>
              <w:rPr>
                <w:rFonts w:ascii="Times New Roman" w:hAnsi="Times New Roman"/>
                <w:sz w:val="20"/>
              </w:rPr>
              <w:t>(h)</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00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Short-term marketable securities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16,557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77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0"/>
              <w:jc w:val="center"/>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16,557</w:t>
            </w:r>
          </w:p>
        </w:tc>
        <w:tc>
          <w:tcPr>
            <w:tcW w:w="80" w:type="dxa"/>
            <w:tcBorders/>
            <w:shd w:fill="CCEEFF" w:val="clear"/>
            <w:vAlign w:val="bottom"/>
          </w:tcPr>
          <w:p>
            <w:pPr>
              <w:pStyle w:val="TableContents"/>
              <w:bidi w:val="0"/>
              <w:spacing w:before="0" w:after="283"/>
              <w:jc w:val="left"/>
              <w:rPr/>
            </w:pPr>
            <w:r>
              <w:rPr/>
              <w:t> </w:t>
            </w:r>
          </w:p>
        </w:tc>
      </w:tr>
      <w:tr>
        <w:trPr/>
        <w:tc>
          <w:tcPr>
            <w:tcW w:w="60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Accounts and other receivables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3,547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77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0"/>
              <w:jc w:val="center"/>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3,547</w:t>
            </w:r>
          </w:p>
        </w:tc>
        <w:tc>
          <w:tcPr>
            <w:tcW w:w="80" w:type="dxa"/>
            <w:tcBorders/>
            <w:vAlign w:val="bottom"/>
          </w:tcPr>
          <w:p>
            <w:pPr>
              <w:pStyle w:val="TableContents"/>
              <w:bidi w:val="0"/>
              <w:spacing w:before="0" w:after="283"/>
              <w:jc w:val="left"/>
              <w:rPr/>
            </w:pPr>
            <w:r>
              <w:rPr/>
              <w:t> </w:t>
            </w:r>
          </w:p>
        </w:tc>
      </w:tr>
      <w:tr>
        <w:trPr/>
        <w:tc>
          <w:tcPr>
            <w:tcW w:w="600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7,695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7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305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27"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0"/>
              <w:jc w:val="center"/>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8,000</w:t>
            </w:r>
          </w:p>
        </w:tc>
        <w:tc>
          <w:tcPr>
            <w:tcW w:w="80" w:type="dxa"/>
            <w:tcBorders/>
            <w:shd w:fill="CCEEFF" w:val="clear"/>
            <w:vAlign w:val="bottom"/>
          </w:tcPr>
          <w:p>
            <w:pPr>
              <w:pStyle w:val="TableContents"/>
              <w:bidi w:val="0"/>
              <w:spacing w:before="0" w:after="283"/>
              <w:jc w:val="left"/>
              <w:rPr/>
            </w:pPr>
            <w:r>
              <w:rPr/>
              <w:t> </w:t>
            </w:r>
          </w:p>
        </w:tc>
      </w:tr>
      <w:tr>
        <w:trPr/>
        <w:tc>
          <w:tcPr>
            <w:tcW w:w="600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113,266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bottom w:val="single" w:sz="12" w:space="0" w:color="000000"/>
            </w:tcBorders>
            <w:tcMar>
              <w:bottom w:w="28" w:type="dxa"/>
            </w:tcMar>
            <w:vAlign w:val="bottom"/>
          </w:tcPr>
          <w:p>
            <w:pPr>
              <w:pStyle w:val="TableContents"/>
              <w:bidi w:val="0"/>
              <w:spacing w:before="0" w:after="283"/>
              <w:jc w:val="left"/>
              <w:rPr/>
            </w:pPr>
            <w:r>
              <w:rPr/>
              <w:t> </w:t>
            </w:r>
          </w:p>
        </w:tc>
        <w:tc>
          <w:tcPr>
            <w:tcW w:w="77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742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bottom w:val="single" w:sz="12" w:space="0" w:color="000000"/>
            </w:tcBorders>
            <w:tcMar>
              <w:bottom w:w="28" w:type="dxa"/>
            </w:tcMar>
            <w:vAlign w:val="bottom"/>
          </w:tcPr>
          <w:p>
            <w:pPr>
              <w:pStyle w:val="TableContents"/>
              <w:bidi w:val="0"/>
              <w:spacing w:before="0" w:after="283"/>
              <w:jc w:val="left"/>
              <w:rPr/>
            </w:pPr>
            <w:r>
              <w:rPr/>
              <w:t> </w:t>
            </w:r>
          </w:p>
        </w:tc>
        <w:tc>
          <w:tcPr>
            <w:tcW w:w="92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291,440</w:t>
            </w:r>
          </w:p>
        </w:tc>
        <w:tc>
          <w:tcPr>
            <w:tcW w:w="8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0"/>
              <w:jc w:val="center"/>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405,448</w:t>
            </w:r>
          </w:p>
        </w:tc>
        <w:tc>
          <w:tcPr>
            <w:tcW w:w="80" w:type="dxa"/>
            <w:tcBorders/>
            <w:vAlign w:val="bottom"/>
          </w:tcPr>
          <w:p>
            <w:pPr>
              <w:pStyle w:val="TableContents"/>
              <w:bidi w:val="0"/>
              <w:spacing w:before="0" w:after="283"/>
              <w:jc w:val="left"/>
              <w:rPr/>
            </w:pPr>
            <w:r>
              <w:rPr/>
              <w:t> </w:t>
            </w:r>
          </w:p>
        </w:tc>
      </w:tr>
      <w:tr>
        <w:trPr/>
        <w:tc>
          <w:tcPr>
            <w:tcW w:w="600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Cash and investments held in Trust Account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77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85,086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(15,119</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305" w:type="dxa"/>
            <w:tcBorders/>
            <w:shd w:fill="CCEEFF" w:val="clear"/>
            <w:vAlign w:val="bottom"/>
          </w:tcPr>
          <w:p>
            <w:pPr>
              <w:pStyle w:val="TableContents"/>
              <w:bidi w:val="0"/>
              <w:spacing w:before="0" w:after="0"/>
              <w:jc w:val="center"/>
              <w:rPr/>
            </w:pPr>
            <w:r>
              <w:rPr/>
              <w:t> </w:t>
            </w:r>
            <w:r>
              <w:rPr>
                <w:rFonts w:ascii="Times New Roman" w:hAnsi="Times New Roman"/>
                <w:sz w:val="20"/>
              </w:rPr>
              <w:t>(a)</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r>
      <w:tr>
        <w:trPr/>
        <w:tc>
          <w:tcPr>
            <w:tcW w:w="6005"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772"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(69,967</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305" w:type="dxa"/>
            <w:tcBorders/>
            <w:shd w:fill="CCEEFF" w:val="clear"/>
            <w:vAlign w:val="bottom"/>
          </w:tcPr>
          <w:p>
            <w:pPr>
              <w:pStyle w:val="TableContents"/>
              <w:bidi w:val="0"/>
              <w:spacing w:before="0" w:after="0"/>
              <w:jc w:val="center"/>
              <w:rPr/>
            </w:pPr>
            <w:r>
              <w:rPr/>
              <w:t> </w:t>
            </w:r>
            <w:r>
              <w:rPr>
                <w:rFonts w:ascii="Times New Roman" w:hAnsi="Times New Roman"/>
                <w:sz w:val="20"/>
              </w:rPr>
              <w:t>(b)</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60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156,961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77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0"/>
              <w:jc w:val="center"/>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156,961</w:t>
            </w:r>
          </w:p>
        </w:tc>
        <w:tc>
          <w:tcPr>
            <w:tcW w:w="80" w:type="dxa"/>
            <w:tcBorders/>
            <w:vAlign w:val="bottom"/>
          </w:tcPr>
          <w:p>
            <w:pPr>
              <w:pStyle w:val="TableContents"/>
              <w:bidi w:val="0"/>
              <w:spacing w:before="0" w:after="283"/>
              <w:jc w:val="left"/>
              <w:rPr/>
            </w:pPr>
            <w:r>
              <w:rPr/>
              <w:t> </w:t>
            </w:r>
          </w:p>
        </w:tc>
      </w:tr>
      <w:tr>
        <w:trPr/>
        <w:tc>
          <w:tcPr>
            <w:tcW w:w="600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 net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95,806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77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0"/>
              <w:jc w:val="center"/>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95,806</w:t>
            </w:r>
          </w:p>
        </w:tc>
        <w:tc>
          <w:tcPr>
            <w:tcW w:w="80" w:type="dxa"/>
            <w:tcBorders/>
            <w:shd w:fill="CCEEFF" w:val="clear"/>
            <w:vAlign w:val="bottom"/>
          </w:tcPr>
          <w:p>
            <w:pPr>
              <w:pStyle w:val="TableContents"/>
              <w:bidi w:val="0"/>
              <w:spacing w:before="0" w:after="283"/>
              <w:jc w:val="left"/>
              <w:rPr/>
            </w:pPr>
            <w:r>
              <w:rPr/>
              <w:t> </w:t>
            </w:r>
          </w:p>
        </w:tc>
      </w:tr>
      <w:tr>
        <w:trPr/>
        <w:tc>
          <w:tcPr>
            <w:tcW w:w="60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2,758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772"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0"/>
              <w:jc w:val="center"/>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2,758</w:t>
            </w:r>
          </w:p>
        </w:tc>
        <w:tc>
          <w:tcPr>
            <w:tcW w:w="80" w:type="dxa"/>
            <w:tcBorders/>
            <w:vAlign w:val="bottom"/>
          </w:tcPr>
          <w:p>
            <w:pPr>
              <w:pStyle w:val="TableContents"/>
              <w:bidi w:val="0"/>
              <w:spacing w:before="0" w:after="283"/>
              <w:jc w:val="left"/>
              <w:rPr/>
            </w:pPr>
            <w:r>
              <w:rPr/>
              <w:t> </w:t>
            </w:r>
          </w:p>
        </w:tc>
      </w:tr>
      <w:tr>
        <w:trPr/>
        <w:tc>
          <w:tcPr>
            <w:tcW w:w="600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10,513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77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0"/>
              <w:jc w:val="center"/>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10,513</w:t>
            </w:r>
          </w:p>
        </w:tc>
        <w:tc>
          <w:tcPr>
            <w:tcW w:w="80" w:type="dxa"/>
            <w:tcBorders/>
            <w:shd w:fill="CCEEFF" w:val="clear"/>
            <w:vAlign w:val="bottom"/>
          </w:tcPr>
          <w:p>
            <w:pPr>
              <w:pStyle w:val="TableContents"/>
              <w:bidi w:val="0"/>
              <w:spacing w:before="0" w:after="283"/>
              <w:jc w:val="left"/>
              <w:rPr/>
            </w:pPr>
            <w:r>
              <w:rPr/>
              <w:t> </w:t>
            </w:r>
          </w:p>
        </w:tc>
      </w:tr>
      <w:tr>
        <w:trPr/>
        <w:tc>
          <w:tcPr>
            <w:tcW w:w="60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Other long-term assets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9,635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77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(9,357</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305" w:type="dxa"/>
            <w:tcBorders/>
            <w:vAlign w:val="bottom"/>
          </w:tcPr>
          <w:p>
            <w:pPr>
              <w:pStyle w:val="TableContents"/>
              <w:bidi w:val="0"/>
              <w:spacing w:before="0" w:after="0"/>
              <w:jc w:val="center"/>
              <w:rPr/>
            </w:pPr>
            <w:r>
              <w:rPr/>
              <w:t> </w:t>
            </w:r>
            <w:r>
              <w:rPr>
                <w:rFonts w:ascii="Times New Roman" w:hAnsi="Times New Roman"/>
                <w:sz w:val="20"/>
              </w:rPr>
              <w:t>(h)</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278</w:t>
            </w:r>
          </w:p>
        </w:tc>
        <w:tc>
          <w:tcPr>
            <w:tcW w:w="80" w:type="dxa"/>
            <w:tcBorders/>
            <w:vAlign w:val="bottom"/>
          </w:tcPr>
          <w:p>
            <w:pPr>
              <w:pStyle w:val="TableContents"/>
              <w:bidi w:val="0"/>
              <w:spacing w:before="0" w:after="283"/>
              <w:jc w:val="left"/>
              <w:rPr/>
            </w:pPr>
            <w:r>
              <w:rPr/>
              <w:t> </w:t>
            </w:r>
          </w:p>
        </w:tc>
      </w:tr>
      <w:tr>
        <w:trPr/>
        <w:tc>
          <w:tcPr>
            <w:tcW w:w="600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9,560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7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27"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0"/>
              <w:jc w:val="center"/>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9,560</w:t>
            </w:r>
          </w:p>
        </w:tc>
        <w:tc>
          <w:tcPr>
            <w:tcW w:w="80" w:type="dxa"/>
            <w:tcBorders/>
            <w:shd w:fill="CCEEFF" w:val="clear"/>
            <w:vAlign w:val="bottom"/>
          </w:tcPr>
          <w:p>
            <w:pPr>
              <w:pStyle w:val="TableContents"/>
              <w:bidi w:val="0"/>
              <w:spacing w:before="0" w:after="283"/>
              <w:jc w:val="left"/>
              <w:rPr/>
            </w:pPr>
            <w:r>
              <w:rPr/>
              <w:t> </w:t>
            </w:r>
          </w:p>
        </w:tc>
      </w:tr>
      <w:tr>
        <w:trPr/>
        <w:tc>
          <w:tcPr>
            <w:tcW w:w="600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0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398,499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72"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85,828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27"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196,997</w:t>
            </w:r>
          </w:p>
        </w:tc>
        <w:tc>
          <w:tcPr>
            <w:tcW w:w="8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0"/>
              <w:jc w:val="center"/>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0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681,324</w:t>
            </w:r>
          </w:p>
        </w:tc>
        <w:tc>
          <w:tcPr>
            <w:tcW w:w="80" w:type="dxa"/>
            <w:tcBorders/>
            <w:vAlign w:val="bottom"/>
          </w:tcPr>
          <w:p>
            <w:pPr>
              <w:pStyle w:val="TableContents"/>
              <w:bidi w:val="0"/>
              <w:spacing w:before="0" w:after="283"/>
              <w:jc w:val="left"/>
              <w:rPr/>
            </w:pPr>
            <w:r>
              <w:rPr/>
              <w:t> </w:t>
            </w:r>
          </w:p>
        </w:tc>
      </w:tr>
      <w:tr>
        <w:trPr/>
        <w:tc>
          <w:tcPr>
            <w:tcW w:w="6005"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772"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0"/>
              <w:jc w:val="center"/>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600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772"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0"/>
              <w:jc w:val="center"/>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600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12,852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7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(1,392</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305" w:type="dxa"/>
            <w:tcBorders/>
            <w:shd w:fill="CCEEFF" w:val="clear"/>
            <w:vAlign w:val="bottom"/>
          </w:tcPr>
          <w:p>
            <w:pPr>
              <w:pStyle w:val="TableContents"/>
              <w:bidi w:val="0"/>
              <w:spacing w:before="0" w:after="0"/>
              <w:jc w:val="center"/>
              <w:rPr/>
            </w:pPr>
            <w:r>
              <w:rPr/>
              <w:t> </w:t>
            </w:r>
            <w:r>
              <w:rPr>
                <w:rFonts w:ascii="Times New Roman" w:hAnsi="Times New Roman"/>
                <w:sz w:val="20"/>
              </w:rPr>
              <w:t>(h)</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11,460</w:t>
            </w:r>
          </w:p>
        </w:tc>
        <w:tc>
          <w:tcPr>
            <w:tcW w:w="80" w:type="dxa"/>
            <w:tcBorders/>
            <w:shd w:fill="CCEEFF" w:val="clear"/>
            <w:vAlign w:val="bottom"/>
          </w:tcPr>
          <w:p>
            <w:pPr>
              <w:pStyle w:val="TableContents"/>
              <w:bidi w:val="0"/>
              <w:spacing w:before="0" w:after="283"/>
              <w:jc w:val="left"/>
              <w:rPr/>
            </w:pPr>
            <w:r>
              <w:rPr/>
              <w:t> </w:t>
            </w:r>
          </w:p>
        </w:tc>
      </w:tr>
      <w:tr>
        <w:trPr/>
        <w:tc>
          <w:tcPr>
            <w:tcW w:w="60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Accrued compensation and other related benefits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8,991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77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0"/>
              <w:jc w:val="center"/>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8,991</w:t>
            </w:r>
          </w:p>
        </w:tc>
        <w:tc>
          <w:tcPr>
            <w:tcW w:w="80" w:type="dxa"/>
            <w:tcBorders/>
            <w:vAlign w:val="bottom"/>
          </w:tcPr>
          <w:p>
            <w:pPr>
              <w:pStyle w:val="TableContents"/>
              <w:bidi w:val="0"/>
              <w:spacing w:before="0" w:after="283"/>
              <w:jc w:val="left"/>
              <w:rPr/>
            </w:pPr>
            <w:r>
              <w:rPr/>
              <w:t> </w:t>
            </w:r>
          </w:p>
        </w:tc>
      </w:tr>
      <w:tr>
        <w:trPr/>
        <w:tc>
          <w:tcPr>
            <w:tcW w:w="600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3,390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77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3,628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(4,463</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305" w:type="dxa"/>
            <w:tcBorders/>
            <w:shd w:fill="CCEEFF" w:val="clear"/>
            <w:vAlign w:val="bottom"/>
          </w:tcPr>
          <w:p>
            <w:pPr>
              <w:pStyle w:val="TableContents"/>
              <w:bidi w:val="0"/>
              <w:spacing w:before="0" w:after="0"/>
              <w:jc w:val="center"/>
              <w:rPr/>
            </w:pPr>
            <w:r>
              <w:rPr/>
              <w:t> </w:t>
            </w:r>
            <w:r>
              <w:rPr>
                <w:rFonts w:ascii="Times New Roman" w:hAnsi="Times New Roman"/>
                <w:sz w:val="20"/>
              </w:rPr>
              <w:t>(h)</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2,555</w:t>
            </w:r>
          </w:p>
        </w:tc>
        <w:tc>
          <w:tcPr>
            <w:tcW w:w="80" w:type="dxa"/>
            <w:tcBorders/>
            <w:shd w:fill="CCEEFF" w:val="clear"/>
            <w:vAlign w:val="bottom"/>
          </w:tcPr>
          <w:p>
            <w:pPr>
              <w:pStyle w:val="TableContents"/>
              <w:bidi w:val="0"/>
              <w:spacing w:before="0" w:after="283"/>
              <w:jc w:val="left"/>
              <w:rPr/>
            </w:pPr>
            <w:r>
              <w:rPr/>
              <w:t> </w:t>
            </w:r>
          </w:p>
        </w:tc>
      </w:tr>
      <w:tr>
        <w:trPr/>
        <w:tc>
          <w:tcPr>
            <w:tcW w:w="60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71,106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77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0"/>
              <w:jc w:val="center"/>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71,106</w:t>
            </w:r>
          </w:p>
        </w:tc>
        <w:tc>
          <w:tcPr>
            <w:tcW w:w="80" w:type="dxa"/>
            <w:tcBorders/>
            <w:vAlign w:val="bottom"/>
          </w:tcPr>
          <w:p>
            <w:pPr>
              <w:pStyle w:val="TableContents"/>
              <w:bidi w:val="0"/>
              <w:spacing w:before="0" w:after="283"/>
              <w:jc w:val="left"/>
              <w:rPr/>
            </w:pPr>
            <w:r>
              <w:rPr/>
              <w:t> </w:t>
            </w:r>
          </w:p>
        </w:tc>
      </w:tr>
      <w:tr>
        <w:trPr/>
        <w:tc>
          <w:tcPr>
            <w:tcW w:w="600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Current portion of lease liabilities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11,194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7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27"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0"/>
              <w:jc w:val="center"/>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11,194</w:t>
            </w:r>
          </w:p>
        </w:tc>
        <w:tc>
          <w:tcPr>
            <w:tcW w:w="80" w:type="dxa"/>
            <w:tcBorders/>
            <w:shd w:fill="CCEEFF" w:val="clear"/>
            <w:vAlign w:val="bottom"/>
          </w:tcPr>
          <w:p>
            <w:pPr>
              <w:pStyle w:val="TableContents"/>
              <w:bidi w:val="0"/>
              <w:spacing w:before="0" w:after="283"/>
              <w:jc w:val="left"/>
              <w:rPr/>
            </w:pPr>
            <w:r>
              <w:rPr/>
              <w:t> </w:t>
            </w:r>
          </w:p>
        </w:tc>
      </w:tr>
      <w:tr>
        <w:trPr/>
        <w:tc>
          <w:tcPr>
            <w:tcW w:w="600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107,533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bottom w:val="single" w:sz="12" w:space="0" w:color="000000"/>
            </w:tcBorders>
            <w:tcMar>
              <w:bottom w:w="28" w:type="dxa"/>
            </w:tcMar>
            <w:vAlign w:val="bottom"/>
          </w:tcPr>
          <w:p>
            <w:pPr>
              <w:pStyle w:val="TableContents"/>
              <w:bidi w:val="0"/>
              <w:spacing w:before="0" w:after="283"/>
              <w:jc w:val="left"/>
              <w:rPr/>
            </w:pPr>
            <w:r>
              <w:rPr/>
              <w:t> </w:t>
            </w:r>
          </w:p>
        </w:tc>
        <w:tc>
          <w:tcPr>
            <w:tcW w:w="77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3,628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bottom w:val="single" w:sz="12" w:space="0" w:color="000000"/>
            </w:tcBorders>
            <w:tcMar>
              <w:bottom w:w="28" w:type="dxa"/>
            </w:tcMar>
            <w:vAlign w:val="bottom"/>
          </w:tcPr>
          <w:p>
            <w:pPr>
              <w:pStyle w:val="TableContents"/>
              <w:bidi w:val="0"/>
              <w:spacing w:before="0" w:after="283"/>
              <w:jc w:val="left"/>
              <w:rPr/>
            </w:pPr>
            <w:r>
              <w:rPr/>
              <w:t> </w:t>
            </w:r>
          </w:p>
        </w:tc>
        <w:tc>
          <w:tcPr>
            <w:tcW w:w="92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(5,855</w:t>
            </w:r>
          </w:p>
        </w:tc>
        <w:tc>
          <w:tcPr>
            <w:tcW w:w="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305" w:type="dxa"/>
            <w:tcBorders/>
            <w:vAlign w:val="bottom"/>
          </w:tcPr>
          <w:p>
            <w:pPr>
              <w:pStyle w:val="TableContents"/>
              <w:bidi w:val="0"/>
              <w:spacing w:before="0" w:after="0"/>
              <w:jc w:val="center"/>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105,306</w:t>
            </w:r>
          </w:p>
        </w:tc>
        <w:tc>
          <w:tcPr>
            <w:tcW w:w="80" w:type="dxa"/>
            <w:tcBorders/>
            <w:vAlign w:val="bottom"/>
          </w:tcPr>
          <w:p>
            <w:pPr>
              <w:pStyle w:val="TableContents"/>
              <w:bidi w:val="0"/>
              <w:spacing w:before="0" w:after="283"/>
              <w:jc w:val="left"/>
              <w:rPr/>
            </w:pPr>
            <w:r>
              <w:rPr/>
              <w:t> </w:t>
            </w:r>
          </w:p>
        </w:tc>
      </w:tr>
      <w:tr>
        <w:trPr/>
        <w:tc>
          <w:tcPr>
            <w:tcW w:w="600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Lease liabilities, net of current portion</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193,036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77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0"/>
              <w:jc w:val="center"/>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193,036</w:t>
            </w:r>
          </w:p>
        </w:tc>
        <w:tc>
          <w:tcPr>
            <w:tcW w:w="80" w:type="dxa"/>
            <w:tcBorders/>
            <w:shd w:fill="CCEEFF" w:val="clear"/>
            <w:vAlign w:val="bottom"/>
          </w:tcPr>
          <w:p>
            <w:pPr>
              <w:pStyle w:val="TableContents"/>
              <w:bidi w:val="0"/>
              <w:spacing w:before="0" w:after="283"/>
              <w:jc w:val="left"/>
              <w:rPr/>
            </w:pPr>
            <w:r>
              <w:rPr/>
              <w:t> </w:t>
            </w:r>
          </w:p>
        </w:tc>
      </w:tr>
      <w:tr>
        <w:trPr/>
        <w:tc>
          <w:tcPr>
            <w:tcW w:w="60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Convertible note, at fair value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41,700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77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41,700</w:t>
            </w:r>
          </w:p>
        </w:tc>
        <w:tc>
          <w:tcPr>
            <w:tcW w:w="80" w:type="dxa"/>
            <w:tcBorders/>
            <w:vAlign w:val="bottom"/>
          </w:tcPr>
          <w:p>
            <w:pPr>
              <w:pStyle w:val="TableContents"/>
              <w:bidi w:val="0"/>
              <w:spacing w:before="0" w:after="283"/>
              <w:jc w:val="left"/>
              <w:rPr/>
            </w:pPr>
            <w:r>
              <w:rPr/>
              <w:t> </w:t>
            </w:r>
          </w:p>
        </w:tc>
      </w:tr>
      <w:tr>
        <w:trPr/>
        <w:tc>
          <w:tcPr>
            <w:tcW w:w="600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Convertible note, related party</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65,523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772"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(65,523</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305" w:type="dxa"/>
            <w:tcBorders/>
            <w:shd w:fill="CCEEFF" w:val="clear"/>
            <w:vAlign w:val="bottom"/>
          </w:tcPr>
          <w:p>
            <w:pPr>
              <w:pStyle w:val="TableContents"/>
              <w:bidi w:val="0"/>
              <w:spacing w:before="0" w:after="0"/>
              <w:jc w:val="center"/>
              <w:rPr>
                <w:rFonts w:ascii="Times New Roman" w:hAnsi="Times New Roman"/>
                <w:sz w:val="20"/>
              </w:rPr>
            </w:pPr>
            <w:r>
              <w:rPr>
                <w:rFonts w:ascii="Times New Roman" w:hAnsi="Times New Roman"/>
                <w:sz w:val="20"/>
              </w:rPr>
              <w:t>(i)</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r>
      <w:tr>
        <w:trPr/>
        <w:tc>
          <w:tcPr>
            <w:tcW w:w="60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Deferred revenue, net of current portion</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772"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r>
      <w:tr>
        <w:trPr/>
        <w:tc>
          <w:tcPr>
            <w:tcW w:w="600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Other long-term liabilities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17,318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772"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17,318</w:t>
            </w:r>
          </w:p>
        </w:tc>
        <w:tc>
          <w:tcPr>
            <w:tcW w:w="80" w:type="dxa"/>
            <w:tcBorders/>
            <w:shd w:fill="CCEEFF" w:val="clear"/>
            <w:vAlign w:val="bottom"/>
          </w:tcPr>
          <w:p>
            <w:pPr>
              <w:pStyle w:val="TableContents"/>
              <w:bidi w:val="0"/>
              <w:spacing w:before="0" w:after="283"/>
              <w:jc w:val="left"/>
              <w:rPr/>
            </w:pPr>
            <w:r>
              <w:rPr/>
              <w:t> </w:t>
            </w:r>
          </w:p>
        </w:tc>
      </w:tr>
      <w:tr>
        <w:trPr/>
        <w:tc>
          <w:tcPr>
            <w:tcW w:w="60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Deferred underwriting compensation</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bottom w:val="single" w:sz="12" w:space="0" w:color="000000"/>
            </w:tcBorders>
            <w:tcMar>
              <w:bottom w:w="28" w:type="dxa"/>
            </w:tcMar>
            <w:vAlign w:val="bottom"/>
          </w:tcPr>
          <w:p>
            <w:pPr>
              <w:pStyle w:val="TableContents"/>
              <w:bidi w:val="0"/>
              <w:spacing w:before="0" w:after="283"/>
              <w:jc w:val="left"/>
              <w:rPr/>
            </w:pPr>
            <w:r>
              <w:rPr/>
              <w:t> </w:t>
            </w:r>
          </w:p>
        </w:tc>
        <w:tc>
          <w:tcPr>
            <w:tcW w:w="77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3,450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bottom w:val="single" w:sz="12" w:space="0" w:color="000000"/>
            </w:tcBorders>
            <w:tcMar>
              <w:bottom w:w="28" w:type="dxa"/>
            </w:tcMar>
            <w:vAlign w:val="bottom"/>
          </w:tcPr>
          <w:p>
            <w:pPr>
              <w:pStyle w:val="TableContents"/>
              <w:bidi w:val="0"/>
              <w:spacing w:before="0" w:after="283"/>
              <w:jc w:val="left"/>
              <w:rPr/>
            </w:pPr>
            <w:r>
              <w:rPr/>
              <w:t> </w:t>
            </w:r>
          </w:p>
        </w:tc>
        <w:tc>
          <w:tcPr>
            <w:tcW w:w="92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(3,450</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305" w:type="dxa"/>
            <w:tcBorders/>
            <w:vAlign w:val="bottom"/>
          </w:tcPr>
          <w:p>
            <w:pPr>
              <w:pStyle w:val="TableContents"/>
              <w:bidi w:val="0"/>
              <w:spacing w:before="0" w:after="0"/>
              <w:jc w:val="center"/>
              <w:rPr/>
            </w:pPr>
            <w:r>
              <w:rPr/>
              <w:t> </w:t>
            </w:r>
            <w:r>
              <w:rPr>
                <w:rFonts w:ascii="Times New Roman" w:hAnsi="Times New Roman"/>
                <w:sz w:val="20"/>
              </w:rPr>
              <w:t>(c)</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r>
      <w:tr>
        <w:trPr/>
        <w:tc>
          <w:tcPr>
            <w:tcW w:w="600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425,110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7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7,078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2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(74,828</w:t>
            </w:r>
          </w:p>
        </w:tc>
        <w:tc>
          <w:tcPr>
            <w:tcW w:w="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305" w:type="dxa"/>
            <w:tcBorders/>
            <w:shd w:fill="CCEEFF" w:val="clear"/>
            <w:vAlign w:val="bottom"/>
          </w:tcPr>
          <w:p>
            <w:pPr>
              <w:pStyle w:val="TableContents"/>
              <w:bidi w:val="0"/>
              <w:spacing w:before="0" w:after="0"/>
              <w:jc w:val="center"/>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357,360</w:t>
            </w:r>
          </w:p>
        </w:tc>
        <w:tc>
          <w:tcPr>
            <w:tcW w:w="80" w:type="dxa"/>
            <w:tcBorders/>
            <w:shd w:fill="CCEEFF" w:val="clear"/>
            <w:vAlign w:val="bottom"/>
          </w:tcPr>
          <w:p>
            <w:pPr>
              <w:pStyle w:val="TableContents"/>
              <w:bidi w:val="0"/>
              <w:spacing w:before="0" w:after="283"/>
              <w:jc w:val="left"/>
              <w:rPr/>
            </w:pPr>
            <w:r>
              <w:rPr/>
              <w:t> </w:t>
            </w:r>
          </w:p>
        </w:tc>
      </w:tr>
      <w:tr>
        <w:trPr/>
        <w:tc>
          <w:tcPr>
            <w:tcW w:w="600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772"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0"/>
              <w:jc w:val="center"/>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600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Commitments and contingencies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772"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0"/>
              <w:jc w:val="center"/>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60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Redeemable convertible preferred stock</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1,363,580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77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(1,363,580</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305" w:type="dxa"/>
            <w:tcBorders/>
            <w:vAlign w:val="bottom"/>
          </w:tcPr>
          <w:p>
            <w:pPr>
              <w:pStyle w:val="TableContents"/>
              <w:bidi w:val="0"/>
              <w:spacing w:before="0" w:after="0"/>
              <w:jc w:val="center"/>
              <w:rPr/>
            </w:pPr>
            <w:r>
              <w:rPr/>
              <w:t> </w:t>
            </w:r>
            <w:r>
              <w:rPr>
                <w:rFonts w:ascii="Times New Roman" w:hAnsi="Times New Roman"/>
                <w:sz w:val="20"/>
              </w:rPr>
              <w:t>(j)</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r>
      <w:tr>
        <w:trPr/>
        <w:tc>
          <w:tcPr>
            <w:tcW w:w="600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Class A ordinary shares subject to possible redemption</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77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85,047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(15,119</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305" w:type="dxa"/>
            <w:tcBorders/>
            <w:shd w:fill="CCEEFF" w:val="clear"/>
            <w:vAlign w:val="bottom"/>
          </w:tcPr>
          <w:p>
            <w:pPr>
              <w:pStyle w:val="TableContents"/>
              <w:bidi w:val="0"/>
              <w:spacing w:before="0" w:after="0"/>
              <w:jc w:val="center"/>
              <w:rPr>
                <w:rFonts w:ascii="Times New Roman" w:hAnsi="Times New Roman"/>
                <w:sz w:val="20"/>
              </w:rPr>
            </w:pPr>
            <w:r>
              <w:rPr>
                <w:rFonts w:ascii="Times New Roman" w:hAnsi="Times New Roman"/>
                <w:sz w:val="20"/>
              </w:rPr>
              <w:t>(a)</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r>
      <w:tr>
        <w:trPr/>
        <w:tc>
          <w:tcPr>
            <w:tcW w:w="6005"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772"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(69,928</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305" w:type="dxa"/>
            <w:tcBorders/>
            <w:shd w:fill="CCEEFF" w:val="clear"/>
            <w:vAlign w:val="bottom"/>
          </w:tcPr>
          <w:p>
            <w:pPr>
              <w:pStyle w:val="TableContents"/>
              <w:bidi w:val="0"/>
              <w:spacing w:before="0" w:after="0"/>
              <w:jc w:val="center"/>
              <w:rPr>
                <w:rFonts w:ascii="Times New Roman" w:hAnsi="Times New Roman"/>
                <w:sz w:val="20"/>
              </w:rPr>
            </w:pPr>
            <w:r>
              <w:rPr>
                <w:rFonts w:ascii="Times New Roman" w:hAnsi="Times New Roman"/>
                <w:sz w:val="20"/>
              </w:rPr>
              <w:t>(e)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600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772"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0"/>
              <w:jc w:val="center"/>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600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Stockholders’ equity (deficit)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772"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0"/>
              <w:jc w:val="center"/>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60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Preference shares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77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0"/>
              <w:jc w:val="center"/>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r>
      <w:tr>
        <w:trPr/>
        <w:tc>
          <w:tcPr>
            <w:tcW w:w="600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Ordinary shares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772"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0"/>
              <w:jc w:val="center"/>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600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Class A</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77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w:t>
            </w:r>
          </w:p>
        </w:tc>
        <w:tc>
          <w:tcPr>
            <w:tcW w:w="8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0"/>
              <w:jc w:val="center"/>
              <w:rPr/>
            </w:pPr>
            <w:r>
              <w:rPr/>
              <w:t> </w:t>
            </w:r>
            <w:r>
              <w:rPr>
                <w:rFonts w:ascii="Times New Roman" w:hAnsi="Times New Roman"/>
                <w:sz w:val="20"/>
              </w:rPr>
              <w:t>(e)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r>
      <w:tr>
        <w:trPr/>
        <w:tc>
          <w:tcPr>
            <w:tcW w:w="6005"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w:t>
            </w:r>
          </w:p>
        </w:tc>
        <w:tc>
          <w:tcPr>
            <w:tcW w:w="8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305" w:type="dxa"/>
            <w:tcBorders/>
            <w:shd w:fill="FFFFFF" w:val="clear"/>
            <w:vAlign w:val="center"/>
          </w:tcPr>
          <w:p>
            <w:pPr>
              <w:pStyle w:val="TableContents"/>
              <w:bidi w:val="0"/>
              <w:spacing w:before="0" w:after="0"/>
              <w:jc w:val="center"/>
              <w:rPr/>
            </w:pPr>
            <w:r>
              <w:rPr/>
              <w:t> </w:t>
            </w:r>
            <w:r>
              <w:rPr>
                <w:rFonts w:ascii="Times New Roman" w:hAnsi="Times New Roman"/>
                <w:sz w:val="20"/>
              </w:rPr>
              <w:t>(g)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00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Class B</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77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0"/>
              <w:jc w:val="center"/>
              <w:rPr/>
            </w:pPr>
            <w:r>
              <w:rPr/>
              <w:t> </w:t>
            </w:r>
            <w:r>
              <w:rPr>
                <w:rFonts w:ascii="Times New Roman" w:hAnsi="Times New Roman"/>
                <w:sz w:val="20"/>
              </w:rPr>
              <w:t>(f)</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r>
      <w:tr>
        <w:trPr/>
        <w:tc>
          <w:tcPr>
            <w:tcW w:w="6005"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772"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0"/>
              <w:jc w:val="center"/>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60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Common stock</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77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305" w:type="dxa"/>
            <w:tcBorders/>
            <w:vAlign w:val="bottom"/>
          </w:tcPr>
          <w:p>
            <w:pPr>
              <w:pStyle w:val="TableContents"/>
              <w:bidi w:val="0"/>
              <w:spacing w:before="0" w:after="0"/>
              <w:jc w:val="center"/>
              <w:rPr/>
            </w:pPr>
            <w:r>
              <w:rPr/>
              <w:t> </w:t>
            </w:r>
            <w:r>
              <w:rPr>
                <w:rFonts w:ascii="Times New Roman" w:hAnsi="Times New Roman"/>
                <w:sz w:val="20"/>
              </w:rPr>
              <w:t>(j)</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r>
      <w:tr>
        <w:trPr/>
        <w:tc>
          <w:tcPr>
            <w:tcW w:w="600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New Freenome Common Stock</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77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w:t>
            </w:r>
          </w:p>
        </w:tc>
        <w:tc>
          <w:tcPr>
            <w:tcW w:w="8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0"/>
              <w:jc w:val="center"/>
              <w:rPr/>
            </w:pPr>
            <w:r>
              <w:rPr/>
              <w:t> </w:t>
            </w:r>
            <w:r>
              <w:rPr>
                <w:rFonts w:ascii="Times New Roman" w:hAnsi="Times New Roman"/>
                <w:sz w:val="20"/>
              </w:rPr>
              <w:t>(d)</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w:t>
            </w:r>
          </w:p>
        </w:tc>
        <w:tc>
          <w:tcPr>
            <w:tcW w:w="80" w:type="dxa"/>
            <w:tcBorders/>
            <w:shd w:fill="CCEEFF" w:val="clear"/>
            <w:vAlign w:val="bottom"/>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w:t>
            </w:r>
          </w:p>
        </w:tc>
        <w:tc>
          <w:tcPr>
            <w:tcW w:w="8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0"/>
              <w:jc w:val="center"/>
              <w:rPr/>
            </w:pPr>
            <w:r>
              <w:rPr/>
              <w:t> </w:t>
            </w:r>
            <w:r>
              <w:rPr>
                <w:rFonts w:ascii="Times New Roman" w:hAnsi="Times New Roman"/>
                <w:sz w:val="20"/>
              </w:rPr>
              <w:t>(i)</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0"/>
              <w:jc w:val="center"/>
              <w:rPr/>
            </w:pPr>
            <w:r>
              <w:rPr/>
              <w:t> </w:t>
            </w:r>
            <w:r>
              <w:rPr>
                <w:rFonts w:ascii="Times New Roman" w:hAnsi="Times New Roman"/>
                <w:sz w:val="20"/>
              </w:rPr>
              <w:t>(f)</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w:t>
            </w:r>
          </w:p>
        </w:tc>
        <w:tc>
          <w:tcPr>
            <w:tcW w:w="8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0"/>
              <w:jc w:val="center"/>
              <w:rPr/>
            </w:pPr>
            <w:r>
              <w:rPr/>
              <w:t> </w:t>
            </w:r>
            <w:r>
              <w:rPr>
                <w:rFonts w:ascii="Times New Roman" w:hAnsi="Times New Roman"/>
                <w:sz w:val="20"/>
              </w:rPr>
              <w:t>(g)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w:t>
            </w:r>
          </w:p>
        </w:tc>
        <w:tc>
          <w:tcPr>
            <w:tcW w:w="8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0"/>
              <w:jc w:val="center"/>
              <w:rPr/>
            </w:pPr>
            <w:r>
              <w:rPr/>
              <w:t> </w:t>
            </w:r>
            <w:r>
              <w:rPr>
                <w:rFonts w:ascii="Times New Roman" w:hAnsi="Times New Roman"/>
                <w:sz w:val="20"/>
              </w:rPr>
              <w:t>(j)</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00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89,471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239,998</w:t>
            </w:r>
          </w:p>
        </w:tc>
        <w:tc>
          <w:tcPr>
            <w:tcW w:w="8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0"/>
              <w:jc w:val="center"/>
              <w:rPr/>
            </w:pPr>
            <w:r>
              <w:rPr/>
              <w:t> </w:t>
            </w:r>
            <w:r>
              <w:rPr>
                <w:rFonts w:ascii="Times New Roman" w:hAnsi="Times New Roman"/>
                <w:sz w:val="20"/>
              </w:rPr>
              <w:t>(d)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1,838,504</w:t>
            </w:r>
          </w:p>
        </w:tc>
        <w:tc>
          <w:tcPr>
            <w:tcW w:w="80" w:type="dxa"/>
            <w:tcBorders/>
            <w:shd w:fill="FFFFFF" w:val="clear"/>
            <w:vAlign w:val="center"/>
          </w:tcPr>
          <w:p>
            <w:pPr>
              <w:pStyle w:val="TableContents"/>
              <w:bidi w:val="0"/>
              <w:spacing w:before="0" w:after="283"/>
              <w:jc w:val="left"/>
              <w:rPr/>
            </w:pPr>
            <w:r>
              <w:rPr/>
              <w:t> </w:t>
            </w:r>
          </w:p>
        </w:tc>
      </w:tr>
      <w:tr>
        <w:trPr/>
        <w:tc>
          <w:tcPr>
            <w:tcW w:w="6005"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69,927</w:t>
            </w:r>
          </w:p>
        </w:tc>
        <w:tc>
          <w:tcPr>
            <w:tcW w:w="8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0"/>
              <w:jc w:val="center"/>
              <w:rPr/>
            </w:pPr>
            <w:r>
              <w:rPr/>
              <w:t> </w:t>
            </w:r>
            <w:r>
              <w:rPr>
                <w:rFonts w:ascii="Times New Roman" w:hAnsi="Times New Roman"/>
                <w:sz w:val="20"/>
              </w:rPr>
              <w:t>(e)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005"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(17,270</w:t>
            </w:r>
          </w:p>
        </w:tc>
        <w:tc>
          <w:tcPr>
            <w:tcW w:w="8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305" w:type="dxa"/>
            <w:tcBorders/>
            <w:shd w:fill="FFFFFF" w:val="clear"/>
            <w:vAlign w:val="center"/>
          </w:tcPr>
          <w:p>
            <w:pPr>
              <w:pStyle w:val="TableContents"/>
              <w:bidi w:val="0"/>
              <w:spacing w:before="0" w:after="0"/>
              <w:jc w:val="center"/>
              <w:rPr/>
            </w:pPr>
            <w:r>
              <w:rPr/>
              <w:t> </w:t>
            </w:r>
            <w:r>
              <w:rPr>
                <w:rFonts w:ascii="Times New Roman" w:hAnsi="Times New Roman"/>
                <w:sz w:val="20"/>
              </w:rPr>
              <w:t>(h)</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005"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65,522</w:t>
            </w:r>
          </w:p>
        </w:tc>
        <w:tc>
          <w:tcPr>
            <w:tcW w:w="8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0"/>
              <w:jc w:val="center"/>
              <w:rPr/>
            </w:pPr>
            <w:r>
              <w:rPr/>
              <w:t> </w:t>
            </w:r>
            <w:r>
              <w:rPr>
                <w:rFonts w:ascii="Times New Roman" w:hAnsi="Times New Roman"/>
                <w:sz w:val="20"/>
              </w:rPr>
              <w:t>(i)</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005"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1,363,576</w:t>
            </w:r>
          </w:p>
        </w:tc>
        <w:tc>
          <w:tcPr>
            <w:tcW w:w="8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0"/>
              <w:jc w:val="center"/>
              <w:rPr/>
            </w:pPr>
            <w:r>
              <w:rPr/>
              <w:t> </w:t>
            </w:r>
            <w:r>
              <w:rPr>
                <w:rFonts w:ascii="Times New Roman" w:hAnsi="Times New Roman"/>
                <w:sz w:val="20"/>
              </w:rPr>
              <w:t>(j)</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005"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(7,606</w:t>
            </w:r>
          </w:p>
        </w:tc>
        <w:tc>
          <w:tcPr>
            <w:tcW w:w="8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305" w:type="dxa"/>
            <w:tcBorders/>
            <w:shd w:fill="FFFF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(k)</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005"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34,886</w:t>
            </w:r>
          </w:p>
        </w:tc>
        <w:tc>
          <w:tcPr>
            <w:tcW w:w="8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0"/>
              <w:jc w:val="center"/>
              <w:rPr/>
            </w:pPr>
            <w:r>
              <w:rPr/>
              <w:t> </w:t>
            </w:r>
            <w:r>
              <w:rPr>
                <w:rFonts w:ascii="Times New Roman" w:hAnsi="Times New Roman"/>
                <w:sz w:val="20"/>
              </w:rPr>
              <w:t>(l)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00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77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0"/>
              <w:jc w:val="center"/>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28</w:t>
            </w:r>
          </w:p>
        </w:tc>
        <w:tc>
          <w:tcPr>
            <w:tcW w:w="80" w:type="dxa"/>
            <w:tcBorders/>
            <w:shd w:fill="CCEEFF" w:val="clear"/>
            <w:vAlign w:val="bottom"/>
          </w:tcPr>
          <w:p>
            <w:pPr>
              <w:pStyle w:val="TableContents"/>
              <w:bidi w:val="0"/>
              <w:spacing w:before="0" w:after="283"/>
              <w:jc w:val="left"/>
              <w:rPr/>
            </w:pPr>
            <w:r>
              <w:rPr/>
              <w:t> </w:t>
            </w:r>
          </w:p>
        </w:tc>
      </w:tr>
      <w:tr>
        <w:trPr/>
        <w:tc>
          <w:tcPr>
            <w:tcW w:w="60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(1,479,693</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77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(6,297</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(1,309</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305" w:type="dxa"/>
            <w:tcBorders/>
            <w:vAlign w:val="bottom"/>
          </w:tcPr>
          <w:p>
            <w:pPr>
              <w:pStyle w:val="TableContents"/>
              <w:bidi w:val="0"/>
              <w:spacing w:before="0" w:after="0"/>
              <w:jc w:val="center"/>
              <w:rPr/>
            </w:pPr>
            <w:r>
              <w:rPr/>
              <w:t> </w:t>
            </w:r>
            <w:r>
              <w:rPr>
                <w:rFonts w:ascii="Times New Roman" w:hAnsi="Times New Roman"/>
                <w:sz w:val="20"/>
              </w:rPr>
              <w:t>(h)</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(1,514,579</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005"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7,606</w:t>
            </w:r>
          </w:p>
        </w:tc>
        <w:tc>
          <w:tcPr>
            <w:tcW w:w="8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0"/>
              <w:jc w:val="center"/>
              <w:rPr/>
            </w:pPr>
            <w:r>
              <w:rPr/>
              <w:t> </w:t>
            </w:r>
            <w:r>
              <w:rPr>
                <w:rFonts w:ascii="Times New Roman" w:hAnsi="Times New Roman"/>
                <w:sz w:val="20"/>
              </w:rPr>
              <w:t>(k)</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00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bottom w:val="single" w:sz="12" w:space="0" w:color="000000"/>
            </w:tcBorders>
            <w:tcMar>
              <w:bottom w:w="28" w:type="dxa"/>
            </w:tcMar>
            <w:vAlign w:val="bottom"/>
          </w:tcPr>
          <w:p>
            <w:pPr>
              <w:pStyle w:val="TableContents"/>
              <w:bidi w:val="0"/>
              <w:spacing w:before="0" w:after="283"/>
              <w:jc w:val="left"/>
              <w:rPr/>
            </w:pPr>
            <w:r>
              <w:rPr/>
              <w:t> </w:t>
            </w:r>
          </w:p>
        </w:tc>
        <w:tc>
          <w:tcPr>
            <w:tcW w:w="772" w:type="dxa"/>
            <w:tcBorders>
              <w:bottom w:val="single" w:sz="12" w:space="0" w:color="000000"/>
            </w:tcBorders>
            <w:tcMar>
              <w:bottom w:w="28" w:type="dxa"/>
            </w:tcMar>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bottom w:val="single" w:sz="12" w:space="0" w:color="000000"/>
            </w:tcBorders>
            <w:tcMar>
              <w:bottom w:w="28" w:type="dxa"/>
            </w:tcMar>
            <w:vAlign w:val="bottom"/>
          </w:tcPr>
          <w:p>
            <w:pPr>
              <w:pStyle w:val="TableContents"/>
              <w:bidi w:val="0"/>
              <w:spacing w:before="0" w:after="283"/>
              <w:jc w:val="left"/>
              <w:rPr/>
            </w:pPr>
            <w:r>
              <w:rPr/>
              <w:t> </w:t>
            </w:r>
          </w:p>
        </w:tc>
        <w:tc>
          <w:tcPr>
            <w:tcW w:w="92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(34,886</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305" w:type="dxa"/>
            <w:tcBorders/>
            <w:vAlign w:val="bottom"/>
          </w:tcPr>
          <w:p>
            <w:pPr>
              <w:pStyle w:val="TableContents"/>
              <w:bidi w:val="0"/>
              <w:spacing w:before="0" w:after="0"/>
              <w:jc w:val="center"/>
              <w:rPr/>
            </w:pPr>
            <w:r>
              <w:rPr/>
              <w:t> </w:t>
            </w:r>
            <w:r>
              <w:rPr>
                <w:rFonts w:ascii="Times New Roman" w:hAnsi="Times New Roman"/>
                <w:sz w:val="20"/>
              </w:rPr>
              <w:t>(l)</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600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stockholders’ equity (deficit)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(1,390,191</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7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(6,297</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2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1,720,452</w:t>
            </w:r>
          </w:p>
        </w:tc>
        <w:tc>
          <w:tcPr>
            <w:tcW w:w="80"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0"/>
              <w:jc w:val="center"/>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323,964</w:t>
            </w:r>
          </w:p>
        </w:tc>
        <w:tc>
          <w:tcPr>
            <w:tcW w:w="80" w:type="dxa"/>
            <w:tcBorders/>
            <w:shd w:fill="CCEEFF" w:val="clear"/>
            <w:vAlign w:val="bottom"/>
          </w:tcPr>
          <w:p>
            <w:pPr>
              <w:pStyle w:val="TableContents"/>
              <w:bidi w:val="0"/>
              <w:spacing w:before="0" w:after="283"/>
              <w:jc w:val="left"/>
              <w:rPr/>
            </w:pPr>
            <w:r>
              <w:rPr/>
              <w:t> </w:t>
            </w:r>
          </w:p>
        </w:tc>
      </w:tr>
      <w:tr>
        <w:trPr/>
        <w:tc>
          <w:tcPr>
            <w:tcW w:w="600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 redeemable noncontrolling interest and equity (deficit)</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0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398,499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72"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85,828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27"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196,997</w:t>
            </w:r>
          </w:p>
        </w:tc>
        <w:tc>
          <w:tcPr>
            <w:tcW w:w="80"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0"/>
              <w:jc w:val="center"/>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0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681,324</w:t>
            </w:r>
          </w:p>
        </w:tc>
        <w:tc>
          <w:tcPr>
            <w:tcW w:w="80" w:type="dxa"/>
            <w:tcBorders/>
            <w:vAlign w:val="bottom"/>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UNAUDITED PRO FORMA CONDENSED COMBINED STATEMENT OF OPERATIONS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FOR THE SIX MONTHS ENDED JUNE 30, 2026</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81" w:name="z720f7be3df4a4d3d829b6cb5f2a859c3"/>
      <w:bookmarkStart w:id="282" w:name="z720f7be3df4a4d3d829b6cb5f2a859c3"/>
      <w:bookmarkEnd w:id="282"/>
    </w:p>
    <w:tbl>
      <w:tblPr>
        <w:tblW w:w="9815" w:type="dxa"/>
        <w:jc w:val="left"/>
        <w:tblInd w:w="0" w:type="dxa"/>
        <w:tblLayout w:type="fixed"/>
        <w:tblCellMar>
          <w:top w:w="0" w:type="dxa"/>
          <w:left w:w="0" w:type="dxa"/>
          <w:bottom w:w="0" w:type="dxa"/>
          <w:right w:w="0" w:type="dxa"/>
        </w:tblCellMar>
      </w:tblPr>
      <w:tblGrid>
        <w:gridCol w:w="4460"/>
        <w:gridCol w:w="60"/>
        <w:gridCol w:w="125"/>
        <w:gridCol w:w="950"/>
        <w:gridCol w:w="80"/>
        <w:gridCol w:w="60"/>
        <w:gridCol w:w="125"/>
        <w:gridCol w:w="950"/>
        <w:gridCol w:w="80"/>
        <w:gridCol w:w="60"/>
        <w:gridCol w:w="196"/>
        <w:gridCol w:w="859"/>
        <w:gridCol w:w="80"/>
        <w:gridCol w:w="410"/>
        <w:gridCol w:w="60"/>
        <w:gridCol w:w="125"/>
        <w:gridCol w:w="1055"/>
        <w:gridCol w:w="80"/>
      </w:tblGrid>
      <w:tr>
        <w:trPr/>
        <w:tc>
          <w:tcPr>
            <w:tcW w:w="4460" w:type="dxa"/>
            <w:tcBorders/>
            <w:vAlign w:val="bottom"/>
          </w:tcPr>
          <w:p>
            <w:pPr>
              <w:pStyle w:val="TableContents"/>
              <w:bidi w:val="0"/>
              <w:spacing w:before="0" w:after="0"/>
              <w:ind w:left="144" w:right="0" w:hanging="144"/>
              <w:jc w:val="left"/>
              <w:rPr>
                <w:color w:val="000000"/>
              </w:rPr>
            </w:pPr>
            <w:r>
              <w:rPr>
                <w:color w:val="000000"/>
              </w:rPr>
              <w:t> </w:t>
            </w:r>
          </w:p>
          <w:p>
            <w:pPr>
              <w:pStyle w:val="TableContents"/>
              <w:bidi w:val="0"/>
              <w:spacing w:before="0" w:after="0"/>
              <w:ind w:left="144" w:right="0" w:hanging="144"/>
              <w:jc w:val="left"/>
              <w:rPr>
                <w:color w:val="000000"/>
              </w:rPr>
            </w:pPr>
            <w:r>
              <w:rPr>
                <w:color w:val="000000"/>
              </w:rPr>
              <w:t> </w:t>
            </w:r>
          </w:p>
          <w:p>
            <w:pPr>
              <w:pStyle w:val="TableContents"/>
              <w:bidi w:val="0"/>
              <w:spacing w:before="0" w:after="0"/>
              <w:jc w:val="left"/>
              <w:rPr/>
            </w:pPr>
            <w:r>
              <w:rPr/>
            </w:r>
          </w:p>
          <w:p>
            <w:pPr>
              <w:pStyle w:val="TableContents"/>
              <w:bidi w:val="0"/>
              <w:spacing w:before="0" w:after="0"/>
              <w:ind w:left="144" w:right="0" w:hanging="144"/>
              <w:jc w:val="left"/>
              <w:rPr>
                <w:color w:val="000000"/>
              </w:rPr>
            </w:pPr>
            <w:r>
              <w:rPr>
                <w:color w:val="000000"/>
              </w:rPr>
              <w:t> </w:t>
            </w:r>
          </w:p>
        </w:tc>
        <w:tc>
          <w:tcPr>
            <w:tcW w:w="60" w:type="dxa"/>
            <w:tcBorders/>
            <w:vAlign w:val="bottom"/>
          </w:tcPr>
          <w:p>
            <w:pPr>
              <w:pStyle w:val="TableContents"/>
              <w:bidi w:val="0"/>
              <w:spacing w:before="0" w:after="283"/>
              <w:jc w:val="left"/>
              <w:rPr/>
            </w:pPr>
            <w:r>
              <w:rPr/>
            </w:r>
          </w:p>
        </w:tc>
        <w:tc>
          <w:tcPr>
            <w:tcW w:w="1075" w:type="dxa"/>
            <w:gridSpan w:val="2"/>
            <w:tcBorders>
              <w:bottom w:val="single" w:sz="12" w:space="0" w:color="000000"/>
            </w:tcBorders>
            <w:tcMar>
              <w:bottom w:w="28" w:type="dxa"/>
            </w:tcMar>
            <w:vAlign w:val="bottom"/>
          </w:tcPr>
          <w:p>
            <w:pPr>
              <w:pStyle w:val="TableContents"/>
              <w:bidi w:val="0"/>
              <w:spacing w:before="0" w:after="0"/>
              <w:jc w:val="left"/>
              <w:rPr/>
            </w:pPr>
            <w:r>
              <w:rPr/>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Freenome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(Historical)</w:t>
            </w:r>
          </w:p>
        </w:tc>
        <w:tc>
          <w:tcPr>
            <w:tcW w:w="8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r>
          </w:p>
        </w:tc>
        <w:tc>
          <w:tcPr>
            <w:tcW w:w="1075" w:type="dxa"/>
            <w:gridSpan w:val="2"/>
            <w:tcBorders>
              <w:bottom w:val="single" w:sz="12" w:space="0" w:color="000000"/>
            </w:tcBorders>
            <w:tcMar>
              <w:bottom w:w="28" w:type="dxa"/>
            </w:tcMar>
            <w:vAlign w:val="bottom"/>
          </w:tcPr>
          <w:p>
            <w:pPr>
              <w:pStyle w:val="TableContents"/>
              <w:bidi w:val="0"/>
              <w:spacing w:before="0" w:after="0"/>
              <w:jc w:val="left"/>
              <w:rPr/>
            </w:pPr>
            <w:r>
              <w:rPr/>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PCSC</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(Historical)</w:t>
            </w:r>
          </w:p>
        </w:tc>
        <w:tc>
          <w:tcPr>
            <w:tcW w:w="8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r>
          </w:p>
        </w:tc>
        <w:tc>
          <w:tcPr>
            <w:tcW w:w="105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Transaction</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Accounting</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Adjustments</w:t>
            </w:r>
          </w:p>
          <w:p>
            <w:pPr>
              <w:pStyle w:val="TableContents"/>
              <w:bidi w:val="0"/>
              <w:spacing w:before="0" w:after="0"/>
              <w:jc w:val="center"/>
              <w:rPr>
                <w:rFonts w:ascii="Times New Roman" w:hAnsi="Times New Roman"/>
                <w:b/>
                <w:sz w:val="20"/>
              </w:rPr>
            </w:pPr>
            <w:r>
              <w:rPr>
                <w:rFonts w:ascii="Times New Roman" w:hAnsi="Times New Roman"/>
                <w:b/>
                <w:sz w:val="20"/>
              </w:rPr>
              <w:t>(Note 2)</w:t>
            </w:r>
          </w:p>
        </w:tc>
        <w:tc>
          <w:tcPr>
            <w:tcW w:w="80" w:type="dxa"/>
            <w:tcBorders/>
            <w:vAlign w:val="bottom"/>
          </w:tcPr>
          <w:p>
            <w:pPr>
              <w:pStyle w:val="TableContents"/>
              <w:bidi w:val="0"/>
              <w:spacing w:before="0" w:after="283"/>
              <w:jc w:val="left"/>
              <w:rPr/>
            </w:pPr>
            <w:r>
              <w:rPr/>
            </w:r>
          </w:p>
        </w:tc>
        <w:tc>
          <w:tcPr>
            <w:tcW w:w="410" w:type="dxa"/>
            <w:tcBorders/>
            <w:vAlign w:val="bottom"/>
          </w:tcPr>
          <w:p>
            <w:pPr>
              <w:pStyle w:val="TableContents"/>
              <w:bidi w:val="0"/>
              <w:spacing w:before="0" w:after="0"/>
              <w:jc w:val="left"/>
              <w:rPr/>
            </w:pPr>
            <w:r>
              <w:rPr/>
            </w:r>
          </w:p>
          <w:p>
            <w:pPr>
              <w:pStyle w:val="TableContents"/>
              <w:bidi w:val="0"/>
              <w:spacing w:before="0" w:after="0"/>
              <w:jc w:val="center"/>
              <w:rPr/>
            </w:pPr>
            <w:r>
              <w:rPr/>
              <w:t> </w:t>
            </w:r>
          </w:p>
          <w:p>
            <w:pPr>
              <w:pStyle w:val="TableContents"/>
              <w:bidi w:val="0"/>
              <w:spacing w:before="0" w:after="0"/>
              <w:jc w:val="center"/>
              <w:rPr/>
            </w:pPr>
            <w:r>
              <w:rPr/>
              <w:t> </w:t>
            </w:r>
          </w:p>
        </w:tc>
        <w:tc>
          <w:tcPr>
            <w:tcW w:w="60" w:type="dxa"/>
            <w:tcBorders/>
            <w:vAlign w:val="bottom"/>
          </w:tcPr>
          <w:p>
            <w:pPr>
              <w:pStyle w:val="TableContents"/>
              <w:bidi w:val="0"/>
              <w:spacing w:before="0" w:after="283"/>
              <w:jc w:val="left"/>
              <w:rPr/>
            </w:pPr>
            <w:r>
              <w:rPr/>
            </w:r>
          </w:p>
        </w:tc>
        <w:tc>
          <w:tcPr>
            <w:tcW w:w="1180" w:type="dxa"/>
            <w:gridSpan w:val="2"/>
            <w:tcBorders>
              <w:bottom w:val="single" w:sz="12" w:space="0" w:color="000000"/>
            </w:tcBorders>
            <w:tcMar>
              <w:bottom w:w="28" w:type="dxa"/>
            </w:tcMar>
            <w:vAlign w:val="bottom"/>
          </w:tcPr>
          <w:p>
            <w:pPr>
              <w:pStyle w:val="TableContents"/>
              <w:bidi w:val="0"/>
              <w:spacing w:before="0" w:after="0"/>
              <w:jc w:val="left"/>
              <w:rPr/>
            </w:pPr>
            <w:r>
              <w:rPr/>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Pro Forma</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Combined</w:t>
            </w:r>
          </w:p>
        </w:tc>
        <w:tc>
          <w:tcPr>
            <w:tcW w:w="80" w:type="dxa"/>
            <w:tcBorders/>
            <w:vAlign w:val="bottom"/>
          </w:tcPr>
          <w:p>
            <w:pPr>
              <w:pStyle w:val="TableContents"/>
              <w:bidi w:val="0"/>
              <w:spacing w:before="0" w:after="283"/>
              <w:jc w:val="left"/>
              <w:rPr/>
            </w:pPr>
            <w:r>
              <w:rPr/>
            </w:r>
          </w:p>
        </w:tc>
      </w:tr>
      <w:tr>
        <w:trPr/>
        <w:tc>
          <w:tcPr>
            <w:tcW w:w="4460"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r>
      <w:tr>
        <w:trPr/>
        <w:tc>
          <w:tcPr>
            <w:tcW w:w="44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0"/>
              <w:jc w:val="center"/>
              <w:rPr/>
            </w:pPr>
            <w:r>
              <w:rPr/>
              <w:t> </w:t>
            </w:r>
          </w:p>
        </w:tc>
        <w:tc>
          <w:tcPr>
            <w:tcW w:w="6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r>
      <w:tr>
        <w:trPr/>
        <w:tc>
          <w:tcPr>
            <w:tcW w:w="4460"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License and collaboration revenue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5,155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gridSpan w:val="2"/>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0"/>
              <w:jc w:val="center"/>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5,155</w:t>
            </w:r>
          </w:p>
        </w:tc>
        <w:tc>
          <w:tcPr>
            <w:tcW w:w="80" w:type="dxa"/>
            <w:tcBorders/>
            <w:shd w:fill="CCEEFF" w:val="clear"/>
            <w:vAlign w:val="bottom"/>
          </w:tcPr>
          <w:p>
            <w:pPr>
              <w:pStyle w:val="TableContents"/>
              <w:bidi w:val="0"/>
              <w:spacing w:before="0" w:after="283"/>
              <w:jc w:val="left"/>
              <w:rPr/>
            </w:pPr>
            <w:r>
              <w:rPr/>
              <w:t> </w:t>
            </w:r>
          </w:p>
        </w:tc>
      </w:tr>
      <w:tr>
        <w:trPr/>
        <w:tc>
          <w:tcPr>
            <w:tcW w:w="4460"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Service and other revenue</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1,341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30" w:type="dxa"/>
            </w:tcMar>
            <w:vAlign w:val="bottom"/>
          </w:tcPr>
          <w:p>
            <w:pPr>
              <w:pStyle w:val="TableContents"/>
              <w:bidi w:val="0"/>
              <w:spacing w:before="0" w:after="283"/>
              <w:jc w:val="left"/>
              <w:rPr/>
            </w:pPr>
            <w:r>
              <w:rPr/>
              <w:t> </w:t>
            </w:r>
          </w:p>
        </w:tc>
        <w:tc>
          <w:tcPr>
            <w:tcW w:w="950" w:type="dxa"/>
            <w:tcBorders>
              <w:bottom w:val="single" w:sz="12" w:space="0" w:color="000000"/>
            </w:tcBorders>
            <w:tcMar>
              <w:bottom w:w="3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0"/>
              <w:jc w:val="center"/>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1,341</w:t>
            </w:r>
          </w:p>
        </w:tc>
        <w:tc>
          <w:tcPr>
            <w:tcW w:w="80" w:type="dxa"/>
            <w:tcBorders/>
            <w:vAlign w:val="bottom"/>
          </w:tcPr>
          <w:p>
            <w:pPr>
              <w:pStyle w:val="TableContents"/>
              <w:bidi w:val="0"/>
              <w:spacing w:before="0" w:after="283"/>
              <w:jc w:val="left"/>
              <w:rPr/>
            </w:pPr>
            <w:r>
              <w:rPr/>
              <w:t> </w:t>
            </w:r>
          </w:p>
        </w:tc>
      </w:tr>
      <w:tr>
        <w:trPr/>
        <w:tc>
          <w:tcPr>
            <w:tcW w:w="4460" w:type="dxa"/>
            <w:tcBorders/>
            <w:shd w:fill="CCEEFF" w:val="clear"/>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Total revenue</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6,496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5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0"/>
              <w:jc w:val="center"/>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6,496</w:t>
            </w:r>
          </w:p>
        </w:tc>
        <w:tc>
          <w:tcPr>
            <w:tcW w:w="80" w:type="dxa"/>
            <w:tcBorders/>
            <w:shd w:fill="CCEEFF" w:val="clear"/>
            <w:vAlign w:val="bottom"/>
          </w:tcPr>
          <w:p>
            <w:pPr>
              <w:pStyle w:val="TableContents"/>
              <w:bidi w:val="0"/>
              <w:spacing w:before="0" w:after="283"/>
              <w:jc w:val="left"/>
              <w:rPr/>
            </w:pPr>
            <w:r>
              <w:rPr/>
              <w:t> </w:t>
            </w:r>
          </w:p>
        </w:tc>
      </w:tr>
      <w:tr>
        <w:trPr/>
        <w:tc>
          <w:tcPr>
            <w:tcW w:w="4460"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0"/>
              <w:jc w:val="center"/>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446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Operating costs and expenses: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0"/>
              <w:jc w:val="center"/>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4460"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Cost of services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937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0"/>
              <w:jc w:val="center"/>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937</w:t>
            </w:r>
          </w:p>
        </w:tc>
        <w:tc>
          <w:tcPr>
            <w:tcW w:w="80" w:type="dxa"/>
            <w:tcBorders/>
            <w:vAlign w:val="bottom"/>
          </w:tcPr>
          <w:p>
            <w:pPr>
              <w:pStyle w:val="TableContents"/>
              <w:bidi w:val="0"/>
              <w:spacing w:before="0" w:after="283"/>
              <w:jc w:val="left"/>
              <w:rPr/>
            </w:pPr>
            <w:r>
              <w:rPr/>
              <w:t> </w:t>
            </w:r>
          </w:p>
        </w:tc>
      </w:tr>
      <w:tr>
        <w:trPr/>
        <w:tc>
          <w:tcPr>
            <w:tcW w:w="4460"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Research and development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106,387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1,597</w:t>
            </w:r>
          </w:p>
        </w:tc>
        <w:tc>
          <w:tcPr>
            <w:tcW w:w="8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0"/>
              <w:jc w:val="center"/>
              <w:rPr/>
            </w:pPr>
            <w:r>
              <w:rPr/>
              <w:t> </w:t>
            </w:r>
            <w:r>
              <w:rPr>
                <w:rFonts w:ascii="Times New Roman" w:hAnsi="Times New Roman"/>
                <w:sz w:val="20"/>
              </w:rPr>
              <w:t>(dd)</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107,984</w:t>
            </w:r>
          </w:p>
        </w:tc>
        <w:tc>
          <w:tcPr>
            <w:tcW w:w="80" w:type="dxa"/>
            <w:tcBorders/>
            <w:shd w:fill="CCEEFF" w:val="clear"/>
            <w:vAlign w:val="bottom"/>
          </w:tcPr>
          <w:p>
            <w:pPr>
              <w:pStyle w:val="TableContents"/>
              <w:bidi w:val="0"/>
              <w:spacing w:before="0" w:after="283"/>
              <w:jc w:val="left"/>
              <w:rPr/>
            </w:pPr>
            <w:r>
              <w:rPr/>
              <w:t> </w:t>
            </w:r>
          </w:p>
        </w:tc>
      </w:tr>
      <w:tr>
        <w:trPr/>
        <w:tc>
          <w:tcPr>
            <w:tcW w:w="4460"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General and administrative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26,624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1,800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(90</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10" w:type="dxa"/>
            <w:tcBorders/>
            <w:vAlign w:val="bottom"/>
          </w:tcPr>
          <w:p>
            <w:pPr>
              <w:pStyle w:val="TableContents"/>
              <w:bidi w:val="0"/>
              <w:spacing w:before="0" w:after="0"/>
              <w:jc w:val="center"/>
              <w:rPr/>
            </w:pPr>
            <w:r>
              <w:rPr/>
              <w:t> </w:t>
            </w:r>
            <w:r>
              <w:rPr>
                <w:rFonts w:ascii="Times New Roman" w:hAnsi="Times New Roman"/>
                <w:sz w:val="20"/>
              </w:rPr>
              <w:t>(aa)</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30,612</w:t>
            </w:r>
          </w:p>
        </w:tc>
        <w:tc>
          <w:tcPr>
            <w:tcW w:w="80" w:type="dxa"/>
            <w:tcBorders/>
            <w:vAlign w:val="bottom"/>
          </w:tcPr>
          <w:p>
            <w:pPr>
              <w:pStyle w:val="TableContents"/>
              <w:bidi w:val="0"/>
              <w:spacing w:before="0" w:after="283"/>
              <w:jc w:val="left"/>
              <w:rPr/>
            </w:pPr>
            <w:r>
              <w:rPr/>
              <w:t> </w:t>
            </w:r>
          </w:p>
        </w:tc>
      </w:tr>
      <w:tr>
        <w:trPr/>
        <w:tc>
          <w:tcPr>
            <w:tcW w:w="4460"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1,619</w:t>
            </w:r>
          </w:p>
        </w:tc>
        <w:tc>
          <w:tcPr>
            <w:tcW w:w="8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0"/>
              <w:jc w:val="center"/>
              <w:rPr/>
            </w:pPr>
            <w:r>
              <w:rPr/>
              <w:t> </w:t>
            </w:r>
            <w:r>
              <w:rPr>
                <w:rFonts w:ascii="Times New Roman" w:hAnsi="Times New Roman"/>
                <w:sz w:val="20"/>
              </w:rPr>
              <w:t>(dd)</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4460"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6" w:type="dxa"/>
            <w:tcBorders>
              <w:bottom w:val="single" w:sz="12" w:space="0" w:color="000000"/>
            </w:tcBorders>
            <w:tcMar>
              <w:bottom w:w="28" w:type="dxa"/>
            </w:tcMar>
            <w:vAlign w:val="bottom"/>
          </w:tcPr>
          <w:p>
            <w:pPr>
              <w:pStyle w:val="TableContents"/>
              <w:bidi w:val="0"/>
              <w:spacing w:before="0" w:after="283"/>
              <w:jc w:val="left"/>
              <w:rPr/>
            </w:pPr>
            <w:r>
              <w:rPr/>
              <w:t> </w:t>
            </w:r>
          </w:p>
        </w:tc>
        <w:tc>
          <w:tcPr>
            <w:tcW w:w="85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659</w:t>
            </w:r>
          </w:p>
        </w:tc>
        <w:tc>
          <w:tcPr>
            <w:tcW w:w="8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0"/>
              <w:jc w:val="center"/>
              <w:rPr/>
            </w:pPr>
            <w:r>
              <w:rPr/>
              <w:t> </w:t>
            </w:r>
            <w:r>
              <w:rPr>
                <w:rFonts w:ascii="Times New Roman" w:hAnsi="Times New Roman"/>
                <w:sz w:val="20"/>
              </w:rPr>
              <w:t>(ee)</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4460"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Total operating costs and expenses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133,948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1,800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5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3,785</w:t>
            </w:r>
          </w:p>
        </w:tc>
        <w:tc>
          <w:tcPr>
            <w:tcW w:w="8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0"/>
              <w:jc w:val="center"/>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139,533</w:t>
            </w:r>
          </w:p>
        </w:tc>
        <w:tc>
          <w:tcPr>
            <w:tcW w:w="80" w:type="dxa"/>
            <w:tcBorders/>
            <w:shd w:fill="CCEEFF" w:val="clear"/>
            <w:vAlign w:val="bottom"/>
          </w:tcPr>
          <w:p>
            <w:pPr>
              <w:pStyle w:val="TableContents"/>
              <w:bidi w:val="0"/>
              <w:spacing w:before="0" w:after="283"/>
              <w:jc w:val="left"/>
              <w:rPr/>
            </w:pPr>
            <w:r>
              <w:rPr/>
              <w:t> </w:t>
            </w:r>
          </w:p>
        </w:tc>
      </w:tr>
      <w:tr>
        <w:trPr/>
        <w:tc>
          <w:tcPr>
            <w:tcW w:w="44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(127,452</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(1,800</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(3,785</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10" w:type="dxa"/>
            <w:tcBorders/>
            <w:vAlign w:val="bottom"/>
          </w:tcPr>
          <w:p>
            <w:pPr>
              <w:pStyle w:val="TableContents"/>
              <w:bidi w:val="0"/>
              <w:spacing w:before="0" w:after="0"/>
              <w:jc w:val="center"/>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(133,037</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46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Interest and investment income, net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2,729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2,729</w:t>
            </w:r>
          </w:p>
        </w:tc>
        <w:tc>
          <w:tcPr>
            <w:tcW w:w="80" w:type="dxa"/>
            <w:tcBorders/>
            <w:shd w:fill="CCEEFF" w:val="clear"/>
            <w:vAlign w:val="bottom"/>
          </w:tcPr>
          <w:p>
            <w:pPr>
              <w:pStyle w:val="TableContents"/>
              <w:bidi w:val="0"/>
              <w:spacing w:before="0" w:after="283"/>
              <w:jc w:val="left"/>
              <w:rPr/>
            </w:pPr>
            <w:r>
              <w:rPr/>
              <w:t> </w:t>
            </w:r>
          </w:p>
        </w:tc>
      </w:tr>
      <w:tr>
        <w:trPr/>
        <w:tc>
          <w:tcPr>
            <w:tcW w:w="44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(7,863</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6,513</w:t>
            </w:r>
          </w:p>
        </w:tc>
        <w:tc>
          <w:tcPr>
            <w:tcW w:w="8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(ff)</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(1,350</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46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0"/>
              <w:jc w:val="center"/>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4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Interest from investments held in Trust Account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1,181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(1,181</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10" w:type="dxa"/>
            <w:tcBorders/>
            <w:vAlign w:val="bottom"/>
          </w:tcPr>
          <w:p>
            <w:pPr>
              <w:pStyle w:val="TableContents"/>
              <w:bidi w:val="0"/>
              <w:spacing w:before="0" w:after="0"/>
              <w:jc w:val="center"/>
              <w:rPr/>
            </w:pPr>
            <w:r>
              <w:rPr/>
              <w:t> </w:t>
            </w:r>
            <w:r>
              <w:rPr>
                <w:rFonts w:ascii="Times New Roman" w:hAnsi="Times New Roman"/>
                <w:sz w:val="20"/>
              </w:rPr>
              <w:t>(bb)</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r>
      <w:tr>
        <w:trPr/>
        <w:tc>
          <w:tcPr>
            <w:tcW w:w="446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Unrealized loss on investments held in Trust Account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(35</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35</w:t>
            </w:r>
          </w:p>
        </w:tc>
        <w:tc>
          <w:tcPr>
            <w:tcW w:w="8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0"/>
              <w:jc w:val="center"/>
              <w:rPr/>
            </w:pPr>
            <w:r>
              <w:rPr/>
              <w:t> </w:t>
            </w:r>
            <w:r>
              <w:rPr>
                <w:rFonts w:ascii="Times New Roman" w:hAnsi="Times New Roman"/>
                <w:sz w:val="20"/>
              </w:rPr>
              <w:t>(bb)</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r>
      <w:tr>
        <w:trPr/>
        <w:tc>
          <w:tcPr>
            <w:tcW w:w="44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Dividend earned on investments held in Trust Account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487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6" w:type="dxa"/>
            <w:tcBorders>
              <w:bottom w:val="single" w:sz="12" w:space="0" w:color="000000"/>
            </w:tcBorders>
            <w:tcMar>
              <w:bottom w:w="28" w:type="dxa"/>
            </w:tcMar>
            <w:vAlign w:val="bottom"/>
          </w:tcPr>
          <w:p>
            <w:pPr>
              <w:pStyle w:val="TableContents"/>
              <w:bidi w:val="0"/>
              <w:spacing w:before="0" w:after="283"/>
              <w:jc w:val="left"/>
              <w:rPr/>
            </w:pPr>
            <w:r>
              <w:rPr/>
              <w:t> </w:t>
            </w:r>
          </w:p>
        </w:tc>
        <w:tc>
          <w:tcPr>
            <w:tcW w:w="85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(487</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10" w:type="dxa"/>
            <w:tcBorders/>
            <w:vAlign w:val="bottom"/>
          </w:tcPr>
          <w:p>
            <w:pPr>
              <w:pStyle w:val="TableContents"/>
              <w:bidi w:val="0"/>
              <w:spacing w:before="0" w:after="0"/>
              <w:jc w:val="center"/>
              <w:rPr/>
            </w:pPr>
            <w:r>
              <w:rPr/>
              <w:t> </w:t>
            </w:r>
            <w:r>
              <w:rPr>
                <w:rFonts w:ascii="Times New Roman" w:hAnsi="Times New Roman"/>
                <w:sz w:val="20"/>
              </w:rPr>
              <w:t>(bb)</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r>
      <w:tr>
        <w:trPr/>
        <w:tc>
          <w:tcPr>
            <w:tcW w:w="446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(132,588</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(167</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96"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5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1,095</w:t>
            </w:r>
          </w:p>
        </w:tc>
        <w:tc>
          <w:tcPr>
            <w:tcW w:w="8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0"/>
              <w:jc w:val="center"/>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(131,660</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460"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446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income (loss) per share, basic</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(4.97</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(0.02</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(1.19</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4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basic</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26,696,158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10,984,184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0"/>
              <w:jc w:val="center"/>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110,280,652</w:t>
            </w:r>
          </w:p>
        </w:tc>
        <w:tc>
          <w:tcPr>
            <w:tcW w:w="80" w:type="dxa"/>
            <w:tcBorders/>
            <w:vAlign w:val="bottom"/>
          </w:tcPr>
          <w:p>
            <w:pPr>
              <w:pStyle w:val="TableContents"/>
              <w:bidi w:val="0"/>
              <w:spacing w:before="0" w:after="283"/>
              <w:jc w:val="left"/>
              <w:rPr/>
            </w:pPr>
            <w:r>
              <w:rPr/>
              <w:t> </w:t>
            </w:r>
          </w:p>
        </w:tc>
      </w:tr>
      <w:tr>
        <w:trPr/>
        <w:tc>
          <w:tcPr>
            <w:tcW w:w="446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income (loss) per share, diluted</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(4.97</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(0.02</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0"/>
              <w:jc w:val="center"/>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(1.19</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460"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Weighted average shares outstanding, diluted</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26,696,158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10,984,184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0"/>
              <w:jc w:val="center"/>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110,280,652</w:t>
            </w:r>
          </w:p>
        </w:tc>
        <w:tc>
          <w:tcPr>
            <w:tcW w:w="8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UNAUDITED PRO FORMA CONDENSED COMBINED STATEMENT OF OPERATIONS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FOR THE YEAR ENDED DECEMBER 31, 2025</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83" w:name="z39b8aa10aca64f0aac616fabe20abdac"/>
      <w:bookmarkStart w:id="284" w:name="z39b8aa10aca64f0aac616fabe20abdac"/>
      <w:bookmarkEnd w:id="284"/>
    </w:p>
    <w:tbl>
      <w:tblPr>
        <w:tblW w:w="9230" w:type="dxa"/>
        <w:jc w:val="left"/>
        <w:tblInd w:w="0" w:type="dxa"/>
        <w:tblLayout w:type="fixed"/>
        <w:tblCellMar>
          <w:top w:w="0" w:type="dxa"/>
          <w:left w:w="0" w:type="dxa"/>
          <w:bottom w:w="0" w:type="dxa"/>
          <w:right w:w="0" w:type="dxa"/>
        </w:tblCellMar>
      </w:tblPr>
      <w:tblGrid>
        <w:gridCol w:w="3875"/>
        <w:gridCol w:w="60"/>
        <w:gridCol w:w="125"/>
        <w:gridCol w:w="950"/>
        <w:gridCol w:w="80"/>
        <w:gridCol w:w="60"/>
        <w:gridCol w:w="125"/>
        <w:gridCol w:w="950"/>
        <w:gridCol w:w="80"/>
        <w:gridCol w:w="60"/>
        <w:gridCol w:w="170"/>
        <w:gridCol w:w="885"/>
        <w:gridCol w:w="80"/>
        <w:gridCol w:w="410"/>
        <w:gridCol w:w="60"/>
        <w:gridCol w:w="125"/>
        <w:gridCol w:w="1055"/>
        <w:gridCol w:w="80"/>
      </w:tblGrid>
      <w:tr>
        <w:trPr/>
        <w:tc>
          <w:tcPr>
            <w:tcW w:w="387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Freenome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(Historical)</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PCSC</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(Historical)</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Transaction</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Accounting</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Adjustments</w:t>
            </w:r>
          </w:p>
          <w:p>
            <w:pPr>
              <w:pStyle w:val="TableContents"/>
              <w:bidi w:val="0"/>
              <w:spacing w:before="0" w:after="0"/>
              <w:jc w:val="center"/>
              <w:rPr>
                <w:rFonts w:ascii="Times New Roman" w:hAnsi="Times New Roman"/>
                <w:b/>
                <w:sz w:val="20"/>
              </w:rPr>
            </w:pPr>
            <w:r>
              <w:rPr>
                <w:rFonts w:ascii="Times New Roman" w:hAnsi="Times New Roman"/>
                <w:b/>
                <w:sz w:val="20"/>
              </w:rPr>
              <w:t>(Note 2)</w:t>
            </w:r>
          </w:p>
        </w:tc>
        <w:tc>
          <w:tcPr>
            <w:tcW w:w="8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Pro Forma</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Combined</w:t>
            </w:r>
          </w:p>
        </w:tc>
        <w:tc>
          <w:tcPr>
            <w:tcW w:w="80" w:type="dxa"/>
            <w:tcBorders/>
            <w:vAlign w:val="bottom"/>
          </w:tcPr>
          <w:p>
            <w:pPr>
              <w:pStyle w:val="TableContents"/>
              <w:bidi w:val="0"/>
              <w:spacing w:before="0" w:after="283"/>
              <w:jc w:val="left"/>
              <w:rPr/>
            </w:pPr>
            <w:r>
              <w:rPr/>
              <w:t> </w:t>
            </w:r>
          </w:p>
        </w:tc>
      </w:tr>
      <w:tr>
        <w:trPr/>
        <w:tc>
          <w:tcPr>
            <w:tcW w:w="3875" w:type="dxa"/>
            <w:tcBorders/>
            <w:vAlign w:val="bottom"/>
          </w:tcPr>
          <w:p>
            <w:pPr>
              <w:pStyle w:val="TableContents"/>
              <w:bidi w:val="0"/>
              <w:spacing w:before="0" w:after="0"/>
              <w:ind w:left="144" w:right="0" w:hanging="144"/>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r>
      <w:tr>
        <w:trPr/>
        <w:tc>
          <w:tcPr>
            <w:tcW w:w="38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0"/>
              <w:jc w:val="center"/>
              <w:rPr/>
            </w:pPr>
            <w:r>
              <w:rPr/>
              <w:t> </w:t>
            </w:r>
          </w:p>
        </w:tc>
        <w:tc>
          <w:tcPr>
            <w:tcW w:w="60" w:type="dxa"/>
            <w:tcBorders/>
            <w:vAlign w:val="bottom"/>
          </w:tcPr>
          <w:p>
            <w:pPr>
              <w:pStyle w:val="TableContents"/>
              <w:bidi w:val="0"/>
              <w:spacing w:before="0" w:after="283"/>
              <w:jc w:val="left"/>
              <w:rPr/>
            </w:pPr>
            <w:r>
              <w:rPr/>
              <w:t> </w:t>
            </w:r>
          </w:p>
        </w:tc>
        <w:tc>
          <w:tcPr>
            <w:tcW w:w="118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r>
      <w:tr>
        <w:trPr/>
        <w:tc>
          <w:tcPr>
            <w:tcW w:w="387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License and collaboration revenue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27,139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gridSpan w:val="2"/>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0"/>
              <w:jc w:val="center"/>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27,139</w:t>
            </w:r>
          </w:p>
        </w:tc>
        <w:tc>
          <w:tcPr>
            <w:tcW w:w="80" w:type="dxa"/>
            <w:tcBorders/>
            <w:shd w:fill="CCEEFF" w:val="clear"/>
            <w:vAlign w:val="bottom"/>
          </w:tcPr>
          <w:p>
            <w:pPr>
              <w:pStyle w:val="TableContents"/>
              <w:bidi w:val="0"/>
              <w:spacing w:before="0" w:after="283"/>
              <w:jc w:val="left"/>
              <w:rPr/>
            </w:pPr>
            <w:r>
              <w:rPr/>
              <w:t> </w:t>
            </w:r>
          </w:p>
        </w:tc>
      </w:tr>
      <w:tr>
        <w:trPr/>
        <w:tc>
          <w:tcPr>
            <w:tcW w:w="387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Service and other revenue</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3,270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0"/>
              <w:jc w:val="center"/>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3,270</w:t>
            </w:r>
          </w:p>
        </w:tc>
        <w:tc>
          <w:tcPr>
            <w:tcW w:w="80" w:type="dxa"/>
            <w:tcBorders/>
            <w:vAlign w:val="bottom"/>
          </w:tcPr>
          <w:p>
            <w:pPr>
              <w:pStyle w:val="TableContents"/>
              <w:bidi w:val="0"/>
              <w:spacing w:before="0" w:after="283"/>
              <w:jc w:val="left"/>
              <w:rPr/>
            </w:pPr>
            <w:r>
              <w:rPr/>
              <w:t> </w:t>
            </w:r>
          </w:p>
        </w:tc>
      </w:tr>
      <w:tr>
        <w:trPr/>
        <w:tc>
          <w:tcPr>
            <w:tcW w:w="3875" w:type="dxa"/>
            <w:tcBorders/>
            <w:shd w:fill="CCEEFF" w:val="clear"/>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Total revenue</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30,409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0"/>
              <w:jc w:val="center"/>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30,409</w:t>
            </w:r>
          </w:p>
        </w:tc>
        <w:tc>
          <w:tcPr>
            <w:tcW w:w="80" w:type="dxa"/>
            <w:tcBorders/>
            <w:shd w:fill="CCEEFF" w:val="clear"/>
            <w:vAlign w:val="bottom"/>
          </w:tcPr>
          <w:p>
            <w:pPr>
              <w:pStyle w:val="TableContents"/>
              <w:bidi w:val="0"/>
              <w:spacing w:before="0" w:after="283"/>
              <w:jc w:val="left"/>
              <w:rPr/>
            </w:pPr>
            <w:r>
              <w:rPr/>
              <w:t> </w:t>
            </w:r>
          </w:p>
        </w:tc>
      </w:tr>
      <w:tr>
        <w:trPr/>
        <w:tc>
          <w:tcPr>
            <w:tcW w:w="3875"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0"/>
              <w:jc w:val="center"/>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387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Operating costs and expenses: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0"/>
              <w:jc w:val="center"/>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387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Cost of services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1,944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0"/>
              <w:jc w:val="center"/>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1,944</w:t>
            </w:r>
          </w:p>
        </w:tc>
        <w:tc>
          <w:tcPr>
            <w:tcW w:w="80" w:type="dxa"/>
            <w:tcBorders/>
            <w:vAlign w:val="bottom"/>
          </w:tcPr>
          <w:p>
            <w:pPr>
              <w:pStyle w:val="TableContents"/>
              <w:bidi w:val="0"/>
              <w:spacing w:before="0" w:after="283"/>
              <w:jc w:val="left"/>
              <w:rPr/>
            </w:pPr>
            <w:r>
              <w:rPr/>
              <w:t> </w:t>
            </w:r>
          </w:p>
        </w:tc>
      </w:tr>
      <w:tr>
        <w:trPr/>
        <w:tc>
          <w:tcPr>
            <w:tcW w:w="387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Research and development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197,117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17,324</w:t>
            </w:r>
          </w:p>
        </w:tc>
        <w:tc>
          <w:tcPr>
            <w:tcW w:w="8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0"/>
              <w:jc w:val="center"/>
              <w:rPr/>
            </w:pPr>
            <w:r>
              <w:rPr/>
              <w:t> </w:t>
            </w:r>
            <w:r>
              <w:rPr>
                <w:rFonts w:ascii="Times New Roman" w:hAnsi="Times New Roman"/>
                <w:sz w:val="20"/>
              </w:rPr>
              <w:t>(cc)</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217,635</w:t>
            </w:r>
          </w:p>
        </w:tc>
        <w:tc>
          <w:tcPr>
            <w:tcW w:w="80" w:type="dxa"/>
            <w:tcBorders/>
            <w:shd w:fill="CCEEFF" w:val="clear"/>
            <w:vAlign w:val="bottom"/>
          </w:tcPr>
          <w:p>
            <w:pPr>
              <w:pStyle w:val="TableContents"/>
              <w:bidi w:val="0"/>
              <w:spacing w:before="0" w:after="283"/>
              <w:jc w:val="left"/>
              <w:rPr/>
            </w:pPr>
            <w:r>
              <w:rPr/>
              <w:t> </w:t>
            </w:r>
          </w:p>
        </w:tc>
      </w:tr>
      <w:tr>
        <w:trPr/>
        <w:tc>
          <w:tcPr>
            <w:tcW w:w="387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3,194</w:t>
            </w:r>
          </w:p>
        </w:tc>
        <w:tc>
          <w:tcPr>
            <w:tcW w:w="8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0"/>
              <w:jc w:val="center"/>
              <w:rPr/>
            </w:pPr>
            <w:r>
              <w:rPr/>
              <w:t> </w:t>
            </w:r>
            <w:r>
              <w:rPr>
                <w:rFonts w:ascii="Times New Roman" w:hAnsi="Times New Roman"/>
                <w:sz w:val="20"/>
              </w:rPr>
              <w:t>(dd)</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387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General and administrative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54,817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2,981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(180</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10" w:type="dxa"/>
            <w:tcBorders/>
            <w:shd w:fill="CCEEFF" w:val="clear"/>
            <w:vAlign w:val="bottom"/>
          </w:tcPr>
          <w:p>
            <w:pPr>
              <w:pStyle w:val="TableContents"/>
              <w:bidi w:val="0"/>
              <w:spacing w:before="0" w:after="0"/>
              <w:jc w:val="center"/>
              <w:rPr/>
            </w:pPr>
            <w:r>
              <w:rPr/>
              <w:t> </w:t>
            </w:r>
            <w:r>
              <w:rPr>
                <w:rFonts w:ascii="Times New Roman" w:hAnsi="Times New Roman"/>
                <w:sz w:val="20"/>
              </w:rPr>
              <w:t>(aa)</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79,736</w:t>
            </w:r>
          </w:p>
        </w:tc>
        <w:tc>
          <w:tcPr>
            <w:tcW w:w="80" w:type="dxa"/>
            <w:tcBorders/>
            <w:shd w:fill="CCEEFF" w:val="clear"/>
            <w:vAlign w:val="bottom"/>
          </w:tcPr>
          <w:p>
            <w:pPr>
              <w:pStyle w:val="TableContents"/>
              <w:bidi w:val="0"/>
              <w:spacing w:before="0" w:after="283"/>
              <w:jc w:val="left"/>
              <w:rPr/>
            </w:pPr>
            <w:r>
              <w:rPr/>
              <w:t> </w:t>
            </w:r>
          </w:p>
        </w:tc>
      </w:tr>
      <w:tr>
        <w:trPr/>
        <w:tc>
          <w:tcPr>
            <w:tcW w:w="387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17,562</w:t>
            </w:r>
          </w:p>
        </w:tc>
        <w:tc>
          <w:tcPr>
            <w:tcW w:w="8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0"/>
              <w:jc w:val="center"/>
              <w:rPr/>
            </w:pPr>
            <w:r>
              <w:rPr/>
              <w:t> </w:t>
            </w:r>
            <w:r>
              <w:rPr>
                <w:rFonts w:ascii="Times New Roman" w:hAnsi="Times New Roman"/>
                <w:sz w:val="20"/>
              </w:rPr>
              <w:t>(cc)</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3875"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3,238</w:t>
            </w:r>
          </w:p>
        </w:tc>
        <w:tc>
          <w:tcPr>
            <w:tcW w:w="8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0"/>
              <w:jc w:val="center"/>
              <w:rPr/>
            </w:pPr>
            <w:r>
              <w:rPr/>
              <w:t> </w:t>
            </w:r>
            <w:r>
              <w:rPr>
                <w:rFonts w:ascii="Times New Roman" w:hAnsi="Times New Roman"/>
                <w:sz w:val="20"/>
              </w:rPr>
              <w:t>(dd)</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387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8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1,318</w:t>
            </w:r>
          </w:p>
        </w:tc>
        <w:tc>
          <w:tcPr>
            <w:tcW w:w="8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0"/>
              <w:jc w:val="center"/>
              <w:rPr/>
            </w:pPr>
            <w:r>
              <w:rPr/>
              <w:t> </w:t>
            </w:r>
            <w:r>
              <w:rPr>
                <w:rFonts w:ascii="Times New Roman" w:hAnsi="Times New Roman"/>
                <w:sz w:val="20"/>
              </w:rPr>
              <w:t>(ee)</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3875"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Total operating costs and expenses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253,878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2,981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42,456</w:t>
            </w:r>
          </w:p>
        </w:tc>
        <w:tc>
          <w:tcPr>
            <w:tcW w:w="8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0"/>
              <w:jc w:val="center"/>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299,315</w:t>
            </w:r>
          </w:p>
        </w:tc>
        <w:tc>
          <w:tcPr>
            <w:tcW w:w="80" w:type="dxa"/>
            <w:tcBorders/>
            <w:shd w:fill="CCEEFF" w:val="clear"/>
            <w:vAlign w:val="bottom"/>
          </w:tcPr>
          <w:p>
            <w:pPr>
              <w:pStyle w:val="TableContents"/>
              <w:bidi w:val="0"/>
              <w:spacing w:before="0" w:after="283"/>
              <w:jc w:val="left"/>
              <w:rPr/>
            </w:pPr>
            <w:r>
              <w:rPr/>
              <w:t> </w:t>
            </w:r>
          </w:p>
        </w:tc>
      </w:tr>
      <w:tr>
        <w:trPr/>
        <w:tc>
          <w:tcPr>
            <w:tcW w:w="38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(223,469</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(2,981</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(42,456</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10" w:type="dxa"/>
            <w:tcBorders/>
            <w:vAlign w:val="bottom"/>
          </w:tcPr>
          <w:p>
            <w:pPr>
              <w:pStyle w:val="TableContents"/>
              <w:bidi w:val="0"/>
              <w:spacing w:before="0" w:after="0"/>
              <w:jc w:val="center"/>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(268,906</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8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Interest and investment income, net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6,914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6,914</w:t>
            </w:r>
          </w:p>
        </w:tc>
        <w:tc>
          <w:tcPr>
            <w:tcW w:w="80" w:type="dxa"/>
            <w:tcBorders/>
            <w:shd w:fill="CCEEFF" w:val="clear"/>
            <w:vAlign w:val="bottom"/>
          </w:tcPr>
          <w:p>
            <w:pPr>
              <w:pStyle w:val="TableContents"/>
              <w:bidi w:val="0"/>
              <w:spacing w:before="0" w:after="283"/>
              <w:jc w:val="left"/>
              <w:rPr/>
            </w:pPr>
            <w:r>
              <w:rPr/>
              <w:t> </w:t>
            </w:r>
          </w:p>
        </w:tc>
      </w:tr>
      <w:tr>
        <w:trPr/>
        <w:tc>
          <w:tcPr>
            <w:tcW w:w="38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(2,820</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1,549</w:t>
            </w:r>
          </w:p>
        </w:tc>
        <w:tc>
          <w:tcPr>
            <w:tcW w:w="8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(ff)</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(1,271</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8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0"/>
              <w:jc w:val="center"/>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32</w:t>
            </w:r>
          </w:p>
        </w:tc>
        <w:tc>
          <w:tcPr>
            <w:tcW w:w="80" w:type="dxa"/>
            <w:tcBorders/>
            <w:shd w:fill="CCEEFF" w:val="clear"/>
            <w:vAlign w:val="bottom"/>
          </w:tcPr>
          <w:p>
            <w:pPr>
              <w:pStyle w:val="TableContents"/>
              <w:bidi w:val="0"/>
              <w:spacing w:before="0" w:after="283"/>
              <w:jc w:val="left"/>
              <w:rPr/>
            </w:pPr>
            <w:r>
              <w:rPr/>
              <w:t> </w:t>
            </w:r>
          </w:p>
        </w:tc>
      </w:tr>
      <w:tr>
        <w:trPr/>
        <w:tc>
          <w:tcPr>
            <w:tcW w:w="38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Interest from investments held in Trust Account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3,821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(3,821</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10" w:type="dxa"/>
            <w:tcBorders/>
            <w:vAlign w:val="bottom"/>
          </w:tcPr>
          <w:p>
            <w:pPr>
              <w:pStyle w:val="TableContents"/>
              <w:bidi w:val="0"/>
              <w:spacing w:before="0" w:after="0"/>
              <w:jc w:val="center"/>
              <w:rPr/>
            </w:pPr>
            <w:r>
              <w:rPr/>
              <w:t> </w:t>
            </w:r>
            <w:r>
              <w:rPr>
                <w:rFonts w:ascii="Times New Roman" w:hAnsi="Times New Roman"/>
                <w:sz w:val="20"/>
              </w:rPr>
              <w:t>(bb)</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r>
      <w:tr>
        <w:trPr/>
        <w:tc>
          <w:tcPr>
            <w:tcW w:w="38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Unrealized loss on investments held in trust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w:t>
            </w:r>
          </w:p>
        </w:tc>
        <w:tc>
          <w:tcPr>
            <w:tcW w:w="8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0"/>
              <w:jc w:val="center"/>
              <w:rPr/>
            </w:pPr>
            <w:r>
              <w:rPr/>
              <w:t> </w:t>
            </w:r>
            <w:r>
              <w:rPr>
                <w:rFonts w:ascii="Times New Roman" w:hAnsi="Times New Roman"/>
                <w:sz w:val="20"/>
              </w:rPr>
              <w:t>(bb)</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r>
      <w:tr>
        <w:trPr/>
        <w:tc>
          <w:tcPr>
            <w:tcW w:w="38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(219,343</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837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8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(44,725</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10" w:type="dxa"/>
            <w:tcBorders/>
            <w:vAlign w:val="bottom"/>
          </w:tcPr>
          <w:p>
            <w:pPr>
              <w:pStyle w:val="TableContents"/>
              <w:bidi w:val="0"/>
              <w:spacing w:before="0" w:after="0"/>
              <w:jc w:val="center"/>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(263,231</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875"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38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income (loss) per share, basic</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(8.28</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0.08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(2.39</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8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basic</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26,497,083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11,067,500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0"/>
              <w:jc w:val="center"/>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110,280,652</w:t>
            </w:r>
          </w:p>
        </w:tc>
        <w:tc>
          <w:tcPr>
            <w:tcW w:w="80" w:type="dxa"/>
            <w:tcBorders/>
            <w:shd w:fill="CCEEFF" w:val="clear"/>
            <w:vAlign w:val="bottom"/>
          </w:tcPr>
          <w:p>
            <w:pPr>
              <w:pStyle w:val="TableContents"/>
              <w:bidi w:val="0"/>
              <w:spacing w:before="0" w:after="283"/>
              <w:jc w:val="left"/>
              <w:rPr/>
            </w:pPr>
            <w:r>
              <w:rPr/>
              <w:t> </w:t>
            </w:r>
          </w:p>
        </w:tc>
      </w:tr>
      <w:tr>
        <w:trPr/>
        <w:tc>
          <w:tcPr>
            <w:tcW w:w="38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income (loss) per share, diluted</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(8.28</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0.08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0"/>
              <w:jc w:val="center"/>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(2.39</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8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diluted</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26,497,083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11,067,500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0"/>
              <w:jc w:val="center"/>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110,280,652</w:t>
            </w:r>
          </w:p>
        </w:tc>
        <w:tc>
          <w:tcPr>
            <w:tcW w:w="8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NOTES TO UNAUDITED PRO FORMA CONDENSED COMBINED FINANCIAL INFORMATION</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1. Basis of Presentation</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rPr>
      </w:pPr>
      <w:r>
        <w:rPr>
          <w:rFonts w:ascii="Times New Roman" w:hAnsi="Times New Roman"/>
          <w:color w:val="000000"/>
          <w:sz w:val="20"/>
        </w:rPr>
        <w:t>The Business Combination was accounted for as a reverse recapitalization in accordance with U.S. GAAP, whereby PCSC was treated as the acquired company and Freenome was treated as the accounting acquirer. Accordingly, for accounting purposes, the Business Combination was treated as the equivalent of Freenome issuing stock for the net assets of PCSC, accompanied by a recapitalization. The net assets of PCSC were recorded at their historical carrying amounts, which approximates fair value , with no goodwill or other intangible assets recorded. Subsequently, results of operations presented for the periods prior to the Business Combination are those of Freenome.</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rPr>
      </w:pPr>
      <w:r>
        <w:rPr>
          <w:rFonts w:ascii="Times New Roman" w:hAnsi="Times New Roman"/>
          <w:color w:val="000000"/>
          <w:sz w:val="20"/>
        </w:rPr>
        <w:t>The unaudited pro forma condensed combined balance sheet as of June 30, 2026 gives pro forma effect to the Business Combination as if it had been consummated on June 30, 2026. The unaudited pro forma condensed combined statements of operations for the six months ended June 30, 2026 and fiscal year ended December 31, 2025 give pro forma effect to the Business Combination as if it had been consummated on January 1, 2025.</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rPr>
      </w:pPr>
      <w:r>
        <w:rPr>
          <w:rFonts w:ascii="Times New Roman" w:hAnsi="Times New Roman"/>
          <w:color w:val="000000"/>
          <w:sz w:val="20"/>
        </w:rPr>
        <w:t>The unaudited pro forma condensed combined balance sheet as of June 30, 2026 has been prepared using, and should be read in conjunction with, the following:</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85" w:name="z4e65c5941d90440b82f2f1c4adf80280"/>
      <w:bookmarkStart w:id="286" w:name="z4e65c5941d90440b82f2f1c4adf80280"/>
      <w:bookmarkEnd w:id="286"/>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0000"/>
              </w:rPr>
            </w:pPr>
            <w:r>
              <w:rPr>
                <w:color w:val="000000"/>
              </w:rPr>
              <w:t>•</w:t>
            </w:r>
          </w:p>
        </w:tc>
        <w:tc>
          <w:tcPr>
            <w:tcW w:w="10020"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Freenome’s unaudited condensed consolidated balance sheet as of June 30, 2026 and the related notes included as Exhibit 99.1 in this Amendment No. 1; and</w:t>
            </w:r>
          </w:p>
        </w:tc>
      </w:tr>
    </w:tbl>
    <w:p>
      <w:pPr>
        <w:pStyle w:val="Normal"/>
        <w:bidi w:val="0"/>
        <w:spacing w:before="0" w:after="0"/>
        <w:jc w:val="left"/>
        <w:rPr>
          <w:sz w:val="4"/>
          <w:szCs w:val="4"/>
        </w:rPr>
      </w:pPr>
      <w:r>
        <w:rPr>
          <w:sz w:val="4"/>
          <w:szCs w:val="4"/>
        </w:rPr>
      </w:r>
      <w:bookmarkStart w:id="287" w:name="z138b0ceb86274a84ae2e9c4c474b2a1c"/>
      <w:bookmarkStart w:id="288" w:name="z138b0ceb86274a84ae2e9c4c474b2a1c"/>
      <w:bookmarkEnd w:id="288"/>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PCSC’s unaudited condensed consolidated balance sheet as of June 30, 2026 and the related notes as filed with the SEC on Form 10-Q on July 15, 2026.</w:t>
            </w:r>
          </w:p>
        </w:tc>
      </w:tr>
    </w:tbl>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rPr>
      </w:pPr>
      <w:r>
        <w:rPr>
          <w:rFonts w:ascii="Times New Roman" w:hAnsi="Times New Roman"/>
          <w:color w:val="000000"/>
          <w:sz w:val="20"/>
        </w:rPr>
        <w:t>The unaudited pro forma condensed combined statement of operations for the six months ended June 30, 2026 has been prepared using, and should be read in conjunction with, the following:</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89" w:name="z5967bbe30d9f450896b319f391fa383a"/>
      <w:bookmarkStart w:id="290" w:name="z5967bbe30d9f450896b319f391fa383a"/>
      <w:bookmarkEnd w:id="290"/>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 xml:space="preserve">Freenome’s unaudited condensed consolidated statement of operations for the six months ended June 30, 2026 and the related notes included as Exhibit 99.1 in this Amendment No. 1; and </w:t>
            </w:r>
          </w:p>
        </w:tc>
      </w:tr>
    </w:tbl>
    <w:p>
      <w:pPr>
        <w:pStyle w:val="Normal"/>
        <w:bidi w:val="0"/>
        <w:spacing w:before="0" w:after="0"/>
        <w:jc w:val="left"/>
        <w:rPr>
          <w:sz w:val="4"/>
          <w:szCs w:val="4"/>
        </w:rPr>
      </w:pPr>
      <w:r>
        <w:rPr>
          <w:sz w:val="4"/>
          <w:szCs w:val="4"/>
        </w:rPr>
      </w:r>
      <w:bookmarkStart w:id="291" w:name="z14df097f88ec4b47b159eee1c22f3d08"/>
      <w:bookmarkStart w:id="292" w:name="z14df097f88ec4b47b159eee1c22f3d08"/>
      <w:bookmarkEnd w:id="292"/>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PCSC’s unaudited condensed consolidated statement of operations for the six months ended June 30, 2026 and the related notes as filed with the SEC on Form 10-Q on July 15, 2026.</w:t>
            </w:r>
          </w:p>
        </w:tc>
      </w:tr>
    </w:tbl>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rPr>
      </w:pPr>
      <w:r>
        <w:rPr>
          <w:rFonts w:ascii="Times New Roman" w:hAnsi="Times New Roman"/>
          <w:color w:val="000000"/>
          <w:sz w:val="20"/>
        </w:rPr>
        <w:t>The unaudited pro forma condensed combined statement of operations for the year ended December 31, 2025 has been prepared using, and should be read in conjunction with, the following:</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93" w:name="z0da1d38bd67e450897c284766f9ee06d"/>
      <w:bookmarkStart w:id="294" w:name="z0da1d38bd67e450897c284766f9ee06d"/>
      <w:bookmarkEnd w:id="294"/>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Freenome’s audited consolidated statement of operations for the year ended December 31, 2025 and the related notes included in the Proxy Statement/Prospectus; and</w:t>
            </w:r>
          </w:p>
        </w:tc>
      </w:tr>
    </w:tbl>
    <w:p>
      <w:pPr>
        <w:pStyle w:val="Normal"/>
        <w:bidi w:val="0"/>
        <w:spacing w:before="0" w:after="0"/>
        <w:jc w:val="left"/>
        <w:rPr>
          <w:sz w:val="4"/>
          <w:szCs w:val="4"/>
        </w:rPr>
      </w:pPr>
      <w:r>
        <w:rPr>
          <w:sz w:val="4"/>
          <w:szCs w:val="4"/>
        </w:rPr>
      </w:r>
      <w:bookmarkStart w:id="295" w:name="z85b5ef20353042678cf6eaf6e8877ac5"/>
      <w:bookmarkStart w:id="296" w:name="z85b5ef20353042678cf6eaf6e8877ac5"/>
      <w:bookmarkEnd w:id="296"/>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PCSC’s audited consolidated statement of operations for the year ended December 31, 2025 and the related notes as filed with the SEC on Form 10-K on March 12, 2026.</w:t>
            </w:r>
          </w:p>
        </w:tc>
      </w:tr>
    </w:tbl>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rPr>
      </w:pPr>
      <w:r>
        <w:rPr>
          <w:rFonts w:ascii="Times New Roman" w:hAnsi="Times New Roman"/>
          <w:color w:val="000000"/>
          <w:sz w:val="20"/>
        </w:rPr>
        <w:t>The foregoing historical financial statements have been prepared in accordance with U.S. GAAP. The unaudited pro forma condensed combined financial information has been prepared based on the aforementioned historical financial statements and the assumptions and adjustments as described in the notes to the unaudited pro forma condensed combined financial information. Management has made significant estimates and assumptions in its determination of the pro forma adjustments. As the unaudited pro forma condensed combined financial information has been prepared based on these preliminary estimates, the final amounts recorded may differ materially from the information presented.</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rPr>
      </w:pPr>
      <w:r>
        <w:rPr>
          <w:rFonts w:ascii="Times New Roman" w:hAnsi="Times New Roman"/>
          <w:color w:val="000000"/>
          <w:sz w:val="20"/>
        </w:rPr>
        <w:t>The unaudited pro forma condensed combined financial information is not necessarily indicative of what the actual results of operations and financial position would have been had the Business Combination taken place on the dates indicated, nor are they indicative of the future consolidated results of operations or financial position of the post-combination company. They should be read in conjunction with the historical financial statements and notes thereto of Freenome and PCSC.</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2. Transaction Accounting Adjustments to Unaudited Pro Forma Condensed Combined Financial Information</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rPr>
      </w:pPr>
      <w:r>
        <w:rPr>
          <w:rFonts w:ascii="Times New Roman" w:hAnsi="Times New Roman"/>
          <w:color w:val="000000"/>
          <w:sz w:val="20"/>
        </w:rPr>
        <w:t>The following unaudited pro forma condensed combined financial information has been prepared in accordance with Article 11 of Regulation S-X. The unaudited pro forma condensed combined financial information has been prepared to illustrate the effect of the Business Combination and has been prepared for informational purposes only.</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rPr>
      </w:pPr>
      <w:r>
        <w:rPr>
          <w:rFonts w:ascii="Times New Roman" w:hAnsi="Times New Roman"/>
          <w:color w:val="000000"/>
          <w:sz w:val="20"/>
        </w:rPr>
        <w:t>The pro forma combined provision for income taxes does not necessarily reflect the amounts that would have resulted had New Freenome following the Closing, filed consolidated income tax returns during the periods presented.</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rPr>
      </w:pPr>
      <w:r>
        <w:rPr>
          <w:rFonts w:ascii="Times New Roman" w:hAnsi="Times New Roman"/>
          <w:color w:val="000000"/>
          <w:sz w:val="20"/>
        </w:rPr>
        <w:t>The pro forma basic and diluted earnings per share amounts presented in the unaudited pro forma condensed combined statements of operations are based upon the number of New Freenome shares outstanding, assuming the Business Combination occurred on January 1, 2025.</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Transaction Accounting Adjustments to Unaudited Pro Forma Condensed Combined Balance Sheet</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rPr>
      </w:pPr>
      <w:r>
        <w:rPr>
          <w:rFonts w:ascii="Times New Roman" w:hAnsi="Times New Roman"/>
          <w:color w:val="000000"/>
          <w:sz w:val="20"/>
        </w:rPr>
        <w:t>The pro forma adjustments included in the unaudited pro forma condensed combined balance sheet as of June 30, 2026, are as follows: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97" w:name="z3fca5686da4b4429aa9e847c73d116a5"/>
      <w:bookmarkStart w:id="298" w:name="z3fca5686da4b4429aa9e847c73d116a5"/>
      <w:bookmarkEnd w:id="298"/>
    </w:p>
    <w:tbl>
      <w:tblPr>
        <w:tblW w:w="10205" w:type="dxa"/>
        <w:jc w:val="left"/>
        <w:tblInd w:w="0" w:type="dxa"/>
        <w:tblLayout w:type="fixed"/>
        <w:tblCellMar>
          <w:top w:w="0" w:type="dxa"/>
          <w:left w:w="0" w:type="dxa"/>
          <w:bottom w:w="0" w:type="dxa"/>
          <w:right w:w="0" w:type="dxa"/>
        </w:tblCellMar>
      </w:tblPr>
      <w:tblGrid>
        <w:gridCol w:w="75"/>
        <w:gridCol w:w="214"/>
        <w:gridCol w:w="9916"/>
      </w:tblGrid>
      <w:tr>
        <w:trPr/>
        <w:tc>
          <w:tcPr>
            <w:tcW w:w="75"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9916"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Represents redemptions of 1,392,723 PCSC Class A Shares at approximately $10.86 per share, or $15.1 million in the aggregate in connection with the Closing.</w:t>
            </w:r>
          </w:p>
        </w:tc>
      </w:tr>
    </w:tbl>
    <w:p>
      <w:pPr>
        <w:pStyle w:val="Normal"/>
        <w:bidi w:val="0"/>
        <w:spacing w:before="0" w:after="0"/>
        <w:jc w:val="left"/>
        <w:rPr>
          <w:sz w:val="4"/>
          <w:szCs w:val="4"/>
        </w:rPr>
      </w:pPr>
      <w:r>
        <w:rPr>
          <w:sz w:val="4"/>
          <w:szCs w:val="4"/>
        </w:rPr>
      </w:r>
      <w:bookmarkStart w:id="299" w:name="z5845dcad8ff44b3a902a99f9c4f30720"/>
      <w:bookmarkStart w:id="300" w:name="z5845dcad8ff44b3a902a99f9c4f30720"/>
      <w:bookmarkEnd w:id="300"/>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pPr>
            <w:r>
              <w:rPr/>
            </w:r>
          </w:p>
        </w:tc>
        <w:tc>
          <w:tcPr>
            <w:tcW w:w="22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w:t>
            </w:r>
          </w:p>
        </w:tc>
        <w:tc>
          <w:tcPr>
            <w:tcW w:w="9940"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Reflects the reclassification of cash and investments held in the Trust Account that became available following the Business Combination to cash and cash equivalents.</w:t>
            </w:r>
          </w:p>
        </w:tc>
      </w:tr>
    </w:tbl>
    <w:p>
      <w:pPr>
        <w:pStyle w:val="Normal"/>
        <w:bidi w:val="0"/>
        <w:spacing w:before="0" w:after="0"/>
        <w:jc w:val="left"/>
        <w:rPr>
          <w:sz w:val="4"/>
          <w:szCs w:val="4"/>
        </w:rPr>
      </w:pPr>
      <w:r>
        <w:rPr>
          <w:sz w:val="4"/>
          <w:szCs w:val="4"/>
        </w:rPr>
      </w:r>
      <w:bookmarkStart w:id="301" w:name="ze62b24e5363c4516882d6162431d5661"/>
      <w:bookmarkStart w:id="302" w:name="ze62b24e5363c4516882d6162431d5661"/>
      <w:bookmarkEnd w:id="302"/>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pPr>
            <w:r>
              <w:rPr/>
            </w:r>
          </w:p>
        </w:tc>
        <w:tc>
          <w:tcPr>
            <w:tcW w:w="22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w:t>
            </w:r>
          </w:p>
        </w:tc>
        <w:tc>
          <w:tcPr>
            <w:tcW w:w="9938"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Reflects the payment of $3.5 million in deferred underwriters’ compensation subject to an agreement with the underwriters.</w:t>
            </w:r>
          </w:p>
        </w:tc>
      </w:tr>
    </w:tbl>
    <w:p>
      <w:pPr>
        <w:pStyle w:val="Normal"/>
        <w:bidi w:val="0"/>
        <w:spacing w:before="0" w:after="0"/>
        <w:jc w:val="left"/>
        <w:rPr>
          <w:sz w:val="4"/>
          <w:szCs w:val="4"/>
        </w:rPr>
      </w:pPr>
      <w:r>
        <w:rPr>
          <w:sz w:val="4"/>
          <w:szCs w:val="4"/>
        </w:rPr>
      </w:r>
      <w:bookmarkStart w:id="303" w:name="z7ba1ee2b4c344db3ad806d99956a5a50"/>
      <w:bookmarkStart w:id="304" w:name="z7ba1ee2b4c344db3ad806d99956a5a50"/>
      <w:bookmarkEnd w:id="304"/>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pPr>
            <w:r>
              <w:rPr/>
            </w:r>
          </w:p>
        </w:tc>
        <w:tc>
          <w:tcPr>
            <w:tcW w:w="21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w:t>
            </w:r>
          </w:p>
        </w:tc>
        <w:tc>
          <w:tcPr>
            <w:tcW w:w="9948"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Reflects proceeds of $240.0 million from the issuance and sale of 24,000,000 shares of New Freenome Common Stock at $10.00 per share in the PIPE Financing pursuant to the Subscription Agreements.</w:t>
            </w:r>
          </w:p>
        </w:tc>
      </w:tr>
    </w:tbl>
    <w:p>
      <w:pPr>
        <w:pStyle w:val="Normal"/>
        <w:bidi w:val="0"/>
        <w:spacing w:before="0" w:after="0"/>
        <w:jc w:val="left"/>
        <w:rPr>
          <w:sz w:val="4"/>
          <w:szCs w:val="4"/>
        </w:rPr>
      </w:pPr>
      <w:r>
        <w:rPr>
          <w:sz w:val="4"/>
          <w:szCs w:val="4"/>
        </w:rPr>
      </w:r>
      <w:bookmarkStart w:id="305" w:name="z79629d5c71b54ea08ffdce5f892435fc"/>
      <w:bookmarkStart w:id="306" w:name="z79629d5c71b54ea08ffdce5f892435fc"/>
      <w:bookmarkEnd w:id="306"/>
    </w:p>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w:t>
            </w:r>
          </w:p>
        </w:tc>
        <w:tc>
          <w:tcPr>
            <w:tcW w:w="732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Reflects the reclassification of $69.9 million of PCSC Class A Shares to permanent equity.</w:t>
            </w:r>
          </w:p>
        </w:tc>
      </w:tr>
    </w:tbl>
    <w:p>
      <w:pPr>
        <w:pStyle w:val="Normal"/>
        <w:bidi w:val="0"/>
        <w:spacing w:before="0" w:after="0"/>
        <w:jc w:val="left"/>
        <w:rPr>
          <w:sz w:val="4"/>
          <w:szCs w:val="4"/>
        </w:rPr>
      </w:pPr>
      <w:r>
        <w:rPr>
          <w:sz w:val="4"/>
          <w:szCs w:val="4"/>
        </w:rPr>
      </w:r>
      <w:bookmarkStart w:id="307" w:name="z4c700929c8934839841d904f41a51813"/>
      <w:bookmarkStart w:id="308" w:name="z4c700929c8934839841d904f41a51813"/>
      <w:bookmarkEnd w:id="308"/>
    </w:p>
    <w:tbl>
      <w:tblPr>
        <w:tblW w:w="9558" w:type="dxa"/>
        <w:jc w:val="left"/>
        <w:tblInd w:w="0" w:type="dxa"/>
        <w:tblLayout w:type="fixed"/>
        <w:tblCellMar>
          <w:top w:w="0" w:type="dxa"/>
          <w:left w:w="0" w:type="dxa"/>
          <w:bottom w:w="0" w:type="dxa"/>
          <w:right w:w="0" w:type="dxa"/>
        </w:tblCellMar>
      </w:tblPr>
      <w:tblGrid>
        <w:gridCol w:w="38"/>
        <w:gridCol w:w="200"/>
        <w:gridCol w:w="9320"/>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w:t>
            </w:r>
          </w:p>
        </w:tc>
        <w:tc>
          <w:tcPr>
            <w:tcW w:w="9320"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Reflects the conversion of 2,156,250 PCSC Class B Shares into 2,156,250 shares of New Freenome Common Stock</w:t>
            </w:r>
          </w:p>
        </w:tc>
      </w:tr>
    </w:tbl>
    <w:p>
      <w:pPr>
        <w:pStyle w:val="Normal"/>
        <w:bidi w:val="0"/>
        <w:spacing w:before="0" w:after="0"/>
        <w:jc w:val="left"/>
        <w:rPr>
          <w:sz w:val="4"/>
          <w:szCs w:val="4"/>
        </w:rPr>
      </w:pPr>
      <w:r>
        <w:rPr>
          <w:sz w:val="4"/>
          <w:szCs w:val="4"/>
        </w:rPr>
      </w:r>
      <w:bookmarkStart w:id="309" w:name="zfa22b60e673747339124464adb21fbe6"/>
      <w:bookmarkStart w:id="310" w:name="zfa22b60e673747339124464adb21fbe6"/>
      <w:bookmarkEnd w:id="310"/>
    </w:p>
    <w:tbl>
      <w:tblPr>
        <w:tblW w:w="9648" w:type="dxa"/>
        <w:jc w:val="left"/>
        <w:tblInd w:w="0" w:type="dxa"/>
        <w:tblLayout w:type="fixed"/>
        <w:tblCellMar>
          <w:top w:w="0" w:type="dxa"/>
          <w:left w:w="0" w:type="dxa"/>
          <w:bottom w:w="0" w:type="dxa"/>
          <w:right w:w="0" w:type="dxa"/>
        </w:tblCellMar>
      </w:tblPr>
      <w:tblGrid>
        <w:gridCol w:w="38"/>
        <w:gridCol w:w="245"/>
        <w:gridCol w:w="9365"/>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w:t>
            </w:r>
          </w:p>
        </w:tc>
        <w:tc>
          <w:tcPr>
            <w:tcW w:w="936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Represents the exchange of 6,764,519 PCSC Class A Shares for 6,764,519 shares of New Freenome Common Stock.</w:t>
            </w:r>
          </w:p>
        </w:tc>
      </w:tr>
    </w:tbl>
    <w:p>
      <w:pPr>
        <w:pStyle w:val="Normal"/>
        <w:bidi w:val="0"/>
        <w:spacing w:before="0" w:after="0"/>
        <w:jc w:val="left"/>
        <w:rPr>
          <w:sz w:val="4"/>
          <w:szCs w:val="4"/>
        </w:rPr>
      </w:pPr>
      <w:r>
        <w:rPr>
          <w:sz w:val="4"/>
          <w:szCs w:val="4"/>
        </w:rPr>
      </w:r>
      <w:bookmarkStart w:id="311" w:name="ze45af0dec43f46d3b8ac6d3156959189"/>
      <w:bookmarkStart w:id="312" w:name="ze45af0dec43f46d3b8ac6d3156959189"/>
      <w:bookmarkEnd w:id="312"/>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pPr>
            <w:r>
              <w:rPr/>
            </w:r>
          </w:p>
        </w:tc>
        <w:tc>
          <w:tcPr>
            <w:tcW w:w="2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w:t>
            </w:r>
          </w:p>
        </w:tc>
        <w:tc>
          <w:tcPr>
            <w:tcW w:w="9961"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Represents preliminary estimated transaction costs incurred by Freenome and PCSC of approximately $13.2 million and $8.9 million, respectively, for legal, financial advisory and other professional fees. PCSC’s estimated transaction costs exclude the deferred underwriting fees as described in Note 2(c) above.</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For Freenome’s transaction costs:</w:t>
      </w:r>
    </w:p>
    <w:p>
      <w:pPr>
        <w:pStyle w:val="Normal"/>
        <w:bidi w:val="0"/>
        <w:spacing w:before="0" w:after="0"/>
        <w:jc w:val="left"/>
        <w:rPr>
          <w:sz w:val="4"/>
          <w:szCs w:val="4"/>
        </w:rPr>
      </w:pPr>
      <w:r>
        <w:rPr>
          <w:sz w:val="4"/>
          <w:szCs w:val="4"/>
        </w:rPr>
      </w:r>
      <w:bookmarkStart w:id="313" w:name="zfe3f5385456243fbbba34f4454f3916c"/>
      <w:bookmarkStart w:id="314" w:name="zfe3f5385456243fbbba34f4454f3916c"/>
      <w:bookmarkEnd w:id="314"/>
    </w:p>
    <w:tbl>
      <w:tblPr>
        <w:tblW w:w="7810" w:type="dxa"/>
        <w:jc w:val="left"/>
        <w:tblInd w:w="0" w:type="dxa"/>
        <w:tblLayout w:type="fixed"/>
        <w:tblCellMar>
          <w:top w:w="0" w:type="dxa"/>
          <w:left w:w="0" w:type="dxa"/>
          <w:bottom w:w="0" w:type="dxa"/>
          <w:right w:w="0" w:type="dxa"/>
        </w:tblCellMar>
      </w:tblPr>
      <w:tblGrid>
        <w:gridCol w:w="75"/>
        <w:gridCol w:w="110"/>
        <w:gridCol w:w="76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0000"/>
              </w:rPr>
            </w:pPr>
            <w:r>
              <w:rPr>
                <w:color w:val="000000"/>
              </w:rPr>
              <w:t>•</w:t>
            </w:r>
          </w:p>
        </w:tc>
        <w:tc>
          <w:tcPr>
            <w:tcW w:w="762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$9.4 million was deferred in other long-term assets and paid by Freenome as of June 30, 2026;</w:t>
            </w:r>
          </w:p>
        </w:tc>
      </w:tr>
    </w:tbl>
    <w:p>
      <w:pPr>
        <w:pStyle w:val="Normal"/>
        <w:bidi w:val="0"/>
        <w:spacing w:before="0" w:after="0"/>
        <w:jc w:val="left"/>
        <w:rPr>
          <w:sz w:val="4"/>
          <w:szCs w:val="4"/>
        </w:rPr>
      </w:pPr>
      <w:r>
        <w:rPr>
          <w:sz w:val="4"/>
          <w:szCs w:val="4"/>
        </w:rPr>
      </w:r>
      <w:bookmarkStart w:id="315" w:name="z1728c5a12b70429b9681230dccd4a617"/>
      <w:bookmarkStart w:id="316" w:name="z1728c5a12b70429b9681230dccd4a617"/>
      <w:bookmarkEnd w:id="316"/>
    </w:p>
    <w:tbl>
      <w:tblPr>
        <w:tblW w:w="7938" w:type="dxa"/>
        <w:jc w:val="left"/>
        <w:tblInd w:w="0" w:type="dxa"/>
        <w:tblLayout w:type="fixed"/>
        <w:tblCellMar>
          <w:top w:w="0" w:type="dxa"/>
          <w:left w:w="0" w:type="dxa"/>
          <w:bottom w:w="0" w:type="dxa"/>
          <w:right w:w="0" w:type="dxa"/>
        </w:tblCellMar>
      </w:tblPr>
      <w:tblGrid>
        <w:gridCol w:w="38"/>
        <w:gridCol w:w="110"/>
        <w:gridCol w:w="779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7790"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$1.4 million was deferred in other long-term assets and in accounts payable as of June 30, 2026;</w:t>
            </w:r>
          </w:p>
        </w:tc>
      </w:tr>
    </w:tbl>
    <w:p>
      <w:pPr>
        <w:pStyle w:val="Normal"/>
        <w:bidi w:val="0"/>
        <w:spacing w:before="0" w:after="0"/>
        <w:jc w:val="left"/>
        <w:rPr>
          <w:sz w:val="4"/>
          <w:szCs w:val="4"/>
        </w:rPr>
      </w:pPr>
      <w:r>
        <w:rPr>
          <w:sz w:val="4"/>
          <w:szCs w:val="4"/>
        </w:rPr>
      </w:r>
      <w:bookmarkStart w:id="317" w:name="z64165fff7b5c494bb471c64c4c799b44"/>
      <w:bookmarkStart w:id="318" w:name="z64165fff7b5c494bb471c64c4c799b44"/>
      <w:bookmarkEnd w:id="318"/>
    </w:p>
    <w:tbl>
      <w:tblPr>
        <w:tblW w:w="7938" w:type="dxa"/>
        <w:jc w:val="left"/>
        <w:tblInd w:w="0" w:type="dxa"/>
        <w:tblLayout w:type="fixed"/>
        <w:tblCellMar>
          <w:top w:w="0" w:type="dxa"/>
          <w:left w:w="0" w:type="dxa"/>
          <w:bottom w:w="0" w:type="dxa"/>
          <w:right w:w="0" w:type="dxa"/>
        </w:tblCellMar>
      </w:tblPr>
      <w:tblGrid>
        <w:gridCol w:w="38"/>
        <w:gridCol w:w="110"/>
        <w:gridCol w:w="779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7790"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$0.9 million was deferred in other long-term assets and in accrued expenses as of June 30, 2026;</w:t>
            </w:r>
          </w:p>
        </w:tc>
      </w:tr>
    </w:tbl>
    <w:p>
      <w:pPr>
        <w:pStyle w:val="Normal"/>
        <w:bidi w:val="0"/>
        <w:spacing w:before="0" w:after="0"/>
        <w:jc w:val="left"/>
        <w:rPr>
          <w:sz w:val="4"/>
          <w:szCs w:val="4"/>
        </w:rPr>
      </w:pPr>
      <w:r>
        <w:rPr>
          <w:sz w:val="4"/>
          <w:szCs w:val="4"/>
        </w:rPr>
      </w:r>
      <w:bookmarkStart w:id="319" w:name="zecfc0a8aa6ed4e24b60edcfed50b0bb2"/>
      <w:bookmarkStart w:id="320" w:name="zecfc0a8aa6ed4e24b60edcfed50b0bb2"/>
      <w:bookmarkEnd w:id="320"/>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$6.2 million was reflected as a reduction of cash, which represents Freenome’s preliminary estimated transaction costs less the amounts previously paid by Freenome;</w:t>
            </w:r>
          </w:p>
        </w:tc>
      </w:tr>
    </w:tbl>
    <w:p>
      <w:pPr>
        <w:pStyle w:val="Normal"/>
        <w:bidi w:val="0"/>
        <w:spacing w:before="0" w:after="0"/>
        <w:jc w:val="left"/>
        <w:rPr>
          <w:sz w:val="4"/>
          <w:szCs w:val="4"/>
        </w:rPr>
      </w:pPr>
      <w:r>
        <w:rPr>
          <w:sz w:val="4"/>
          <w:szCs w:val="4"/>
        </w:rPr>
      </w:r>
      <w:bookmarkStart w:id="321" w:name="z49a33f5627a74ed2805128e988760a96"/>
      <w:bookmarkStart w:id="322" w:name="z49a33f5627a74ed2805128e988760a96"/>
      <w:bookmarkEnd w:id="322"/>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$13.2 million were capitalized and offset against the proceeds from the Business Combination and reflected as a decrease in additional paid-in capital.</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For PCSC’s transaction costs:</w:t>
      </w:r>
    </w:p>
    <w:p>
      <w:pPr>
        <w:pStyle w:val="Normal"/>
        <w:bidi w:val="0"/>
        <w:spacing w:before="0" w:after="0"/>
        <w:jc w:val="left"/>
        <w:rPr>
          <w:sz w:val="4"/>
          <w:szCs w:val="4"/>
        </w:rPr>
      </w:pPr>
      <w:r>
        <w:rPr>
          <w:sz w:val="4"/>
          <w:szCs w:val="4"/>
        </w:rPr>
      </w:r>
      <w:bookmarkStart w:id="323" w:name="z060cd4a7dca4449297ef0be783309a4b"/>
      <w:bookmarkStart w:id="324" w:name="z060cd4a7dca4449297ef0be783309a4b"/>
      <w:bookmarkEnd w:id="324"/>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$3.5 million was accrued by PCSC in accrued expenses and other current liabilities and recognized as expense as of June 30, 2026;</w:t>
            </w:r>
          </w:p>
        </w:tc>
      </w:tr>
    </w:tbl>
    <w:p>
      <w:pPr>
        <w:pStyle w:val="Normal"/>
        <w:bidi w:val="0"/>
        <w:spacing w:before="0" w:after="0"/>
        <w:jc w:val="left"/>
        <w:rPr>
          <w:sz w:val="4"/>
          <w:szCs w:val="4"/>
        </w:rPr>
      </w:pPr>
      <w:r>
        <w:rPr>
          <w:sz w:val="4"/>
          <w:szCs w:val="4"/>
        </w:rPr>
      </w:r>
      <w:bookmarkStart w:id="325" w:name="z7043543703164eca80187cd8a0cdf17c"/>
      <w:bookmarkStart w:id="326" w:name="z7043543703164eca80187cd8a0cdf17c"/>
      <w:bookmarkEnd w:id="326"/>
    </w:p>
    <w:tbl>
      <w:tblPr>
        <w:tblW w:w="4128" w:type="dxa"/>
        <w:jc w:val="left"/>
        <w:tblInd w:w="0" w:type="dxa"/>
        <w:tblLayout w:type="fixed"/>
        <w:tblCellMar>
          <w:top w:w="0" w:type="dxa"/>
          <w:left w:w="0" w:type="dxa"/>
          <w:bottom w:w="0" w:type="dxa"/>
          <w:right w:w="0" w:type="dxa"/>
        </w:tblCellMar>
      </w:tblPr>
      <w:tblGrid>
        <w:gridCol w:w="38"/>
        <w:gridCol w:w="110"/>
        <w:gridCol w:w="398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3980"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$8.9 million was reflected as a reduction of cash;</w:t>
            </w:r>
          </w:p>
        </w:tc>
      </w:tr>
    </w:tbl>
    <w:p>
      <w:pPr>
        <w:pStyle w:val="Normal"/>
        <w:bidi w:val="0"/>
        <w:spacing w:before="0" w:after="0"/>
        <w:jc w:val="left"/>
        <w:rPr>
          <w:sz w:val="4"/>
          <w:szCs w:val="4"/>
        </w:rPr>
      </w:pPr>
      <w:r>
        <w:rPr>
          <w:sz w:val="4"/>
          <w:szCs w:val="4"/>
        </w:rPr>
      </w:r>
      <w:bookmarkStart w:id="327" w:name="z6031c2d0020f4d56a44d31faf9a84c78"/>
      <w:bookmarkStart w:id="328" w:name="z6031c2d0020f4d56a44d31faf9a84c78"/>
      <w:bookmarkEnd w:id="328"/>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$4.1 million represents equity issuance costs related to the PIPE financing described in Note 2(d) above and reflected as a decrease in additional paid-in capital; and</w:t>
            </w:r>
          </w:p>
        </w:tc>
      </w:tr>
    </w:tbl>
    <w:p>
      <w:pPr>
        <w:pStyle w:val="Normal"/>
        <w:bidi w:val="0"/>
        <w:spacing w:before="0" w:after="0"/>
        <w:jc w:val="left"/>
        <w:rPr>
          <w:sz w:val="4"/>
          <w:szCs w:val="4"/>
        </w:rPr>
      </w:pPr>
      <w:r>
        <w:rPr>
          <w:sz w:val="4"/>
          <w:szCs w:val="4"/>
        </w:rPr>
      </w:r>
      <w:bookmarkStart w:id="329" w:name="zb4cb3d262a1b4c7097a2f9af2ec94720"/>
      <w:bookmarkStart w:id="330" w:name="zb4cb3d262a1b4c7097a2f9af2ec94720"/>
      <w:bookmarkEnd w:id="330"/>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$1.3 million was reflected as an adjustment to accumulated deficit, which represents the total estimated PCSC transaction costs less: (i) $4.1 million capitalized and offset against the proceeds from the PIPE investment; and (ii) $3.5 million previously recognized by PCSC as of June 30, 2026.</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31" w:name="zc1ef7bc1e4c94acbb31cdeb6272366dc"/>
      <w:bookmarkStart w:id="332" w:name="zc1ef7bc1e4c94acbb31cdeb6272366dc"/>
      <w:bookmarkEnd w:id="332"/>
    </w:p>
    <w:tbl>
      <w:tblPr>
        <w:tblW w:w="10205" w:type="dxa"/>
        <w:jc w:val="left"/>
        <w:tblInd w:w="0" w:type="dxa"/>
        <w:tblLayout w:type="fixed"/>
        <w:tblCellMar>
          <w:top w:w="0" w:type="dxa"/>
          <w:left w:w="0" w:type="dxa"/>
          <w:bottom w:w="0" w:type="dxa"/>
          <w:right w:w="0" w:type="dxa"/>
        </w:tblCellMar>
      </w:tblPr>
      <w:tblGrid>
        <w:gridCol w:w="75"/>
        <w:gridCol w:w="183"/>
        <w:gridCol w:w="9947"/>
      </w:tblGrid>
      <w:tr>
        <w:trPr/>
        <w:tc>
          <w:tcPr>
            <w:tcW w:w="75"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w:t>
            </w:r>
          </w:p>
        </w:tc>
        <w:tc>
          <w:tcPr>
            <w:tcW w:w="9947"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Reflects the conversion of the Roche Convertible Note and accrued interest into 6,460,616 shares of New Freenome Common Stock in connection with the Closing.</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333" w:name="z4e91bca72f774068b40e54d9a2588047"/>
      <w:bookmarkStart w:id="334" w:name="z4e91bca72f774068b40e54d9a2588047"/>
      <w:bookmarkEnd w:id="334"/>
    </w:p>
    <w:tbl>
      <w:tblPr>
        <w:tblW w:w="10205" w:type="dxa"/>
        <w:jc w:val="left"/>
        <w:tblInd w:w="0" w:type="dxa"/>
        <w:tblLayout w:type="fixed"/>
        <w:tblCellMar>
          <w:top w:w="0" w:type="dxa"/>
          <w:left w:w="0" w:type="dxa"/>
          <w:bottom w:w="0" w:type="dxa"/>
          <w:right w:w="0" w:type="dxa"/>
        </w:tblCellMar>
      </w:tblPr>
      <w:tblGrid>
        <w:gridCol w:w="38"/>
        <w:gridCol w:w="168"/>
        <w:gridCol w:w="9999"/>
      </w:tblGrid>
      <w:tr>
        <w:trPr/>
        <w:tc>
          <w:tcPr>
            <w:tcW w:w="38" w:type="dxa"/>
            <w:tcBorders/>
            <w:vAlign w:val="center"/>
          </w:tcPr>
          <w:p>
            <w:pPr>
              <w:pStyle w:val="TableContents"/>
              <w:bidi w:val="0"/>
              <w:spacing w:before="0" w:after="283"/>
              <w:jc w:val="left"/>
              <w:rPr/>
            </w:pPr>
            <w:r>
              <w:rPr/>
            </w:r>
          </w:p>
        </w:tc>
        <w:tc>
          <w:tcPr>
            <w:tcW w:w="16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w:t>
            </w:r>
          </w:p>
        </w:tc>
        <w:tc>
          <w:tcPr>
            <w:tcW w:w="9999"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Reflects the recapitalization of Freenome’s equity consisting of 26,267,598 shares of common stock, 428,560 warrants and 212,541,832 shares of redeemable convertible preferred stock into 68,065,429 shares of New Freenome Common Stock.</w:t>
            </w:r>
          </w:p>
        </w:tc>
      </w:tr>
    </w:tbl>
    <w:p>
      <w:pPr>
        <w:pStyle w:val="Normal"/>
        <w:bidi w:val="0"/>
        <w:spacing w:before="0" w:after="0"/>
        <w:jc w:val="left"/>
        <w:rPr>
          <w:sz w:val="4"/>
          <w:szCs w:val="4"/>
        </w:rPr>
      </w:pPr>
      <w:r>
        <w:rPr>
          <w:sz w:val="4"/>
          <w:szCs w:val="4"/>
        </w:rPr>
      </w:r>
      <w:bookmarkStart w:id="335" w:name="z5e85b70b9d384e3c880cd73a35b84b47"/>
      <w:bookmarkStart w:id="336" w:name="z5e85b70b9d384e3c880cd73a35b84b47"/>
      <w:bookmarkEnd w:id="336"/>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w:t>
            </w:r>
          </w:p>
        </w:tc>
        <w:tc>
          <w:tcPr>
            <w:tcW w:w="9937"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Reflects the elimination of PCSC’s historical accumulated deficit after recording the transaction costs to be incurred by PCSC as described in Note 2(h) above.</w:t>
            </w:r>
          </w:p>
        </w:tc>
      </w:tr>
    </w:tbl>
    <w:p>
      <w:pPr>
        <w:pStyle w:val="Normal"/>
        <w:bidi w:val="0"/>
        <w:spacing w:before="0" w:after="0"/>
        <w:jc w:val="left"/>
        <w:rPr>
          <w:sz w:val="4"/>
          <w:szCs w:val="4"/>
        </w:rPr>
      </w:pPr>
      <w:r>
        <w:rPr>
          <w:sz w:val="4"/>
          <w:szCs w:val="4"/>
        </w:rPr>
      </w:r>
      <w:bookmarkStart w:id="337" w:name="zda2a2b385a494b57a0ea061697e89446"/>
      <w:bookmarkStart w:id="338" w:name="zda2a2b385a494b57a0ea061697e89446"/>
      <w:bookmarkEnd w:id="338"/>
    </w:p>
    <w:tbl>
      <w:tblPr>
        <w:tblW w:w="10205" w:type="dxa"/>
        <w:jc w:val="left"/>
        <w:tblInd w:w="0" w:type="dxa"/>
        <w:tblLayout w:type="fixed"/>
        <w:tblCellMar>
          <w:top w:w="0" w:type="dxa"/>
          <w:left w:w="0" w:type="dxa"/>
          <w:bottom w:w="0" w:type="dxa"/>
          <w:right w:w="0" w:type="dxa"/>
        </w:tblCellMar>
      </w:tblPr>
      <w:tblGrid>
        <w:gridCol w:w="38"/>
        <w:gridCol w:w="157"/>
        <w:gridCol w:w="10010"/>
      </w:tblGrid>
      <w:tr>
        <w:trPr/>
        <w:tc>
          <w:tcPr>
            <w:tcW w:w="38" w:type="dxa"/>
            <w:tcBorders/>
            <w:vAlign w:val="center"/>
          </w:tcPr>
          <w:p>
            <w:pPr>
              <w:pStyle w:val="TableContents"/>
              <w:bidi w:val="0"/>
              <w:spacing w:before="0" w:after="283"/>
              <w:jc w:val="left"/>
              <w:rPr/>
            </w:pPr>
            <w:r>
              <w:rPr/>
            </w:r>
          </w:p>
        </w:tc>
        <w:tc>
          <w:tcPr>
            <w:tcW w:w="15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w:t>
            </w:r>
          </w:p>
        </w:tc>
        <w:tc>
          <w:tcPr>
            <w:tcW w:w="10010"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Represents the recognition of stock-based compensation expense associated with Freenome restricted stock units that, on a pro forma basis, will have vested at the Closing. These costs expensed through Accumulated deficit are included in the unaudited pro forma condensed combined statement of operations for the year ended December 31, 2025 as discussed in Note 2(cc) below.</w:t>
            </w:r>
          </w:p>
        </w:tc>
      </w:tr>
    </w:tbl>
    <w:p>
      <w:pPr>
        <w:pStyle w:val="TextBody"/>
        <w:bidi w:val="0"/>
        <w:spacing w:before="0" w:after="0"/>
        <w:jc w:val="left"/>
        <w:rPr/>
      </w:pPr>
      <w:r>
        <w:rPr/>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Transaction Accounting Adjustments to Unaudited Pro Forma Condensed Combined Statements of Operations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pro forma adjustments included in the unaudited pro forma condensed combined statements of operations for the six months ended June 30, 2026 and year ended December 31, 2025, are as follows: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39" w:name="z84637cd51c3043c3b9052cd56d6d123f"/>
      <w:bookmarkStart w:id="340" w:name="z84637cd51c3043c3b9052cd56d6d123f"/>
      <w:bookmarkEnd w:id="340"/>
    </w:p>
    <w:tbl>
      <w:tblPr>
        <w:tblW w:w="10205" w:type="dxa"/>
        <w:jc w:val="left"/>
        <w:tblInd w:w="0" w:type="dxa"/>
        <w:tblLayout w:type="fixed"/>
        <w:tblCellMar>
          <w:top w:w="0" w:type="dxa"/>
          <w:left w:w="0" w:type="dxa"/>
          <w:bottom w:w="0" w:type="dxa"/>
          <w:right w:w="0" w:type="dxa"/>
        </w:tblCellMar>
      </w:tblPr>
      <w:tblGrid>
        <w:gridCol w:w="38"/>
        <w:gridCol w:w="290"/>
        <w:gridCol w:w="9877"/>
      </w:tblGrid>
      <w:tr>
        <w:trPr/>
        <w:tc>
          <w:tcPr>
            <w:tcW w:w="3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(aa)</w:t>
            </w:r>
          </w:p>
        </w:tc>
        <w:tc>
          <w:tcPr>
            <w:tcW w:w="9877"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Represents pro forma adjustment to eliminate historical expenses related to PCSC’s administrative, financial and support services paid to the Sponsor, which will terminate upon consummation of the Business Combination.</w:t>
            </w:r>
          </w:p>
        </w:tc>
      </w:tr>
    </w:tbl>
    <w:p>
      <w:pPr>
        <w:pStyle w:val="Normal"/>
        <w:bidi w:val="0"/>
        <w:spacing w:before="0" w:after="0"/>
        <w:jc w:val="left"/>
        <w:rPr>
          <w:sz w:val="4"/>
          <w:szCs w:val="4"/>
        </w:rPr>
      </w:pPr>
      <w:r>
        <w:rPr>
          <w:sz w:val="4"/>
          <w:szCs w:val="4"/>
        </w:rPr>
      </w:r>
      <w:bookmarkStart w:id="341" w:name="z3d01272414ed411696ff776e805a62da"/>
      <w:bookmarkStart w:id="342" w:name="z3d01272414ed411696ff776e805a62da"/>
      <w:bookmarkEnd w:id="342"/>
    </w:p>
    <w:tbl>
      <w:tblPr>
        <w:tblW w:w="10173" w:type="dxa"/>
        <w:jc w:val="left"/>
        <w:tblInd w:w="0" w:type="dxa"/>
        <w:tblLayout w:type="fixed"/>
        <w:tblCellMar>
          <w:top w:w="0" w:type="dxa"/>
          <w:left w:w="0" w:type="dxa"/>
          <w:bottom w:w="0" w:type="dxa"/>
          <w:right w:w="0" w:type="dxa"/>
        </w:tblCellMar>
      </w:tblPr>
      <w:tblGrid>
        <w:gridCol w:w="38"/>
        <w:gridCol w:w="350"/>
        <w:gridCol w:w="9785"/>
      </w:tblGrid>
      <w:tr>
        <w:trPr/>
        <w:tc>
          <w:tcPr>
            <w:tcW w:w="38" w:type="dxa"/>
            <w:tcBorders/>
            <w:vAlign w:val="center"/>
          </w:tcPr>
          <w:p>
            <w:pPr>
              <w:pStyle w:val="TableContents"/>
              <w:bidi w:val="0"/>
              <w:spacing w:before="0" w:after="283"/>
              <w:jc w:val="left"/>
              <w:rPr/>
            </w:pPr>
            <w:r>
              <w:rPr/>
            </w:r>
          </w:p>
        </w:tc>
        <w:tc>
          <w:tcPr>
            <w:tcW w:w="35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(bb)</w:t>
            </w:r>
          </w:p>
        </w:tc>
        <w:tc>
          <w:tcPr>
            <w:tcW w:w="978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Represents pro forma adjustment to eliminate interest and unrealized gain (loss) from investments held in Trust Account.</w:t>
            </w:r>
          </w:p>
        </w:tc>
      </w:tr>
    </w:tbl>
    <w:p>
      <w:pPr>
        <w:pStyle w:val="Normal"/>
        <w:bidi w:val="0"/>
        <w:spacing w:before="0" w:after="0"/>
        <w:jc w:val="left"/>
        <w:rPr>
          <w:sz w:val="4"/>
          <w:szCs w:val="4"/>
        </w:rPr>
      </w:pPr>
      <w:r>
        <w:rPr>
          <w:sz w:val="4"/>
          <w:szCs w:val="4"/>
        </w:rPr>
      </w:r>
      <w:bookmarkStart w:id="343" w:name="zebbfaabb11514b038ad1576eb7ae8c44"/>
      <w:bookmarkStart w:id="344" w:name="zebbfaabb11514b038ad1576eb7ae8c44"/>
      <w:bookmarkEnd w:id="344"/>
    </w:p>
    <w:tbl>
      <w:tblPr>
        <w:tblW w:w="10205" w:type="dxa"/>
        <w:jc w:val="left"/>
        <w:tblInd w:w="0" w:type="dxa"/>
        <w:tblLayout w:type="fixed"/>
        <w:tblCellMar>
          <w:top w:w="0" w:type="dxa"/>
          <w:left w:w="0" w:type="dxa"/>
          <w:bottom w:w="0" w:type="dxa"/>
          <w:right w:w="0" w:type="dxa"/>
        </w:tblCellMar>
      </w:tblPr>
      <w:tblGrid>
        <w:gridCol w:w="38"/>
        <w:gridCol w:w="277"/>
        <w:gridCol w:w="9890"/>
      </w:tblGrid>
      <w:tr>
        <w:trPr/>
        <w:tc>
          <w:tcPr>
            <w:tcW w:w="38" w:type="dxa"/>
            <w:tcBorders/>
            <w:vAlign w:val="center"/>
          </w:tcPr>
          <w:p>
            <w:pPr>
              <w:pStyle w:val="TableContents"/>
              <w:bidi w:val="0"/>
              <w:spacing w:before="0" w:after="283"/>
              <w:jc w:val="left"/>
              <w:rPr/>
            </w:pPr>
            <w:r>
              <w:rPr/>
            </w:r>
          </w:p>
        </w:tc>
        <w:tc>
          <w:tcPr>
            <w:tcW w:w="27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(cc)</w:t>
            </w:r>
          </w:p>
        </w:tc>
        <w:tc>
          <w:tcPr>
            <w:tcW w:w="989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Represents the recognition of stock-based compensation expense associated with Freenome restricted stock units that, on a pro forma basis, will have vested at the Closing. These costs are reflected as if incurred on January 1, 2025, the date the Business Combination occurred for purposes of the unaudited pro forma condensed combined statements of operations. This is a non-recurring item.</w:t>
            </w:r>
          </w:p>
        </w:tc>
      </w:tr>
    </w:tbl>
    <w:p>
      <w:pPr>
        <w:pStyle w:val="Normal"/>
        <w:bidi w:val="0"/>
        <w:spacing w:before="0" w:after="0"/>
        <w:jc w:val="left"/>
        <w:rPr>
          <w:sz w:val="4"/>
          <w:szCs w:val="4"/>
        </w:rPr>
      </w:pPr>
      <w:r>
        <w:rPr>
          <w:sz w:val="4"/>
          <w:szCs w:val="4"/>
        </w:rPr>
      </w:r>
      <w:bookmarkStart w:id="345" w:name="zd30e7ebda3514afc9ffc4613d34eb46d"/>
      <w:bookmarkStart w:id="346" w:name="zd30e7ebda3514afc9ffc4613d34eb46d"/>
      <w:bookmarkEnd w:id="346"/>
    </w:p>
    <w:tbl>
      <w:tblPr>
        <w:tblW w:w="10205" w:type="dxa"/>
        <w:jc w:val="left"/>
        <w:tblInd w:w="0" w:type="dxa"/>
        <w:tblLayout w:type="fixed"/>
        <w:tblCellMar>
          <w:top w:w="0" w:type="dxa"/>
          <w:left w:w="0" w:type="dxa"/>
          <w:bottom w:w="0" w:type="dxa"/>
          <w:right w:w="0" w:type="dxa"/>
        </w:tblCellMar>
      </w:tblPr>
      <w:tblGrid>
        <w:gridCol w:w="38"/>
        <w:gridCol w:w="304"/>
        <w:gridCol w:w="9863"/>
      </w:tblGrid>
      <w:tr>
        <w:trPr/>
        <w:tc>
          <w:tcPr>
            <w:tcW w:w="38" w:type="dxa"/>
            <w:tcBorders/>
            <w:vAlign w:val="center"/>
          </w:tcPr>
          <w:p>
            <w:pPr>
              <w:pStyle w:val="TableContents"/>
              <w:bidi w:val="0"/>
              <w:spacing w:before="0" w:after="283"/>
              <w:jc w:val="left"/>
              <w:rPr/>
            </w:pPr>
            <w:r>
              <w:rPr/>
            </w:r>
          </w:p>
        </w:tc>
        <w:tc>
          <w:tcPr>
            <w:tcW w:w="30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(dd)</w:t>
            </w:r>
          </w:p>
        </w:tc>
        <w:tc>
          <w:tcPr>
            <w:tcW w:w="9863"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Reflects the amortization of stock-based compensation expense associated with Freenome’s unvested restricted stock units, which are subject to vesting based upon both a service-based requirement and a liquidity event requirement. At the Closing the liquidity event requirement will have been meet and Freenome will amortize stock-based compensation expense associated with the unvested restricted stock units over the remaining service period.</w:t>
            </w:r>
          </w:p>
        </w:tc>
      </w:tr>
    </w:tbl>
    <w:p>
      <w:pPr>
        <w:pStyle w:val="Normal"/>
        <w:bidi w:val="0"/>
        <w:spacing w:before="0" w:after="0"/>
        <w:jc w:val="left"/>
        <w:rPr>
          <w:sz w:val="4"/>
          <w:szCs w:val="4"/>
        </w:rPr>
      </w:pPr>
      <w:r>
        <w:rPr>
          <w:sz w:val="4"/>
          <w:szCs w:val="4"/>
        </w:rPr>
      </w:r>
      <w:bookmarkStart w:id="347" w:name="z80e9c14ae7ed4657a12ba3bdcdd5a17d"/>
      <w:bookmarkStart w:id="348" w:name="z80e9c14ae7ed4657a12ba3bdcdd5a17d"/>
      <w:bookmarkEnd w:id="348"/>
    </w:p>
    <w:tbl>
      <w:tblPr>
        <w:tblW w:w="10205" w:type="dxa"/>
        <w:jc w:val="left"/>
        <w:tblInd w:w="0" w:type="dxa"/>
        <w:tblLayout w:type="fixed"/>
        <w:tblCellMar>
          <w:top w:w="0" w:type="dxa"/>
          <w:left w:w="0" w:type="dxa"/>
          <w:bottom w:w="0" w:type="dxa"/>
          <w:right w:w="0" w:type="dxa"/>
        </w:tblCellMar>
      </w:tblPr>
      <w:tblGrid>
        <w:gridCol w:w="38"/>
        <w:gridCol w:w="265"/>
        <w:gridCol w:w="9902"/>
      </w:tblGrid>
      <w:tr>
        <w:trPr/>
        <w:tc>
          <w:tcPr>
            <w:tcW w:w="38" w:type="dxa"/>
            <w:tcBorders/>
            <w:vAlign w:val="center"/>
          </w:tcPr>
          <w:p>
            <w:pPr>
              <w:pStyle w:val="TableContents"/>
              <w:bidi w:val="0"/>
              <w:spacing w:before="0" w:after="283"/>
              <w:jc w:val="left"/>
              <w:rPr/>
            </w:pPr>
            <w:r>
              <w:rPr/>
            </w:r>
          </w:p>
        </w:tc>
        <w:tc>
          <w:tcPr>
            <w:tcW w:w="26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(ee)</w:t>
            </w:r>
          </w:p>
        </w:tc>
        <w:tc>
          <w:tcPr>
            <w:tcW w:w="9902"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Reflects the recognition of stock-based compensation expense associated with the Anti-Dilution Equity Awards that will be granted following the Business Combination, pursuant to the Elliott Offer Letter. The terms of the Elliott Offer Letter provide that an Anti-Dilution Option grant and an Anti-Dilution RSU grant will be made such that the aggregate number of shares underlining outstanding option awards and RSU awards issued to the employee are equal to 0.5% and 0.5%, respectively, of the fully-diluted capitalization of New Freenome following the Closing. The estimated number of Anti-Dilution Options and Anti-Dilution RSUs to be granted are 283,832 options and 283,832 RSUs, respectively. The strike price of the Anti-Dilution Option will be equal to the fair market value of the common stock on the date the new Freenome’s Board approves that grant. The other terms and conditions of the Anti-Dilution Option and Anti-Dilution RSUs, including the vesting commencement date and vesting schedule will be the same as the Initial Option and Initial RSU Award provided for in the employment agreement.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9" w:name="90dbbbc02cff48a0ad5dd9cb7bd42dec"/>
      <w:bookmarkStart w:id="350" w:name="90dbbbc02cff48a0ad5dd9cb7bd42dec"/>
      <w:bookmarkEnd w:id="350"/>
    </w:p>
    <w:tbl>
      <w:tblPr>
        <w:tblW w:w="10205" w:type="dxa"/>
        <w:jc w:val="left"/>
        <w:tblInd w:w="0" w:type="dxa"/>
        <w:tblLayout w:type="fixed"/>
        <w:tblCellMar>
          <w:top w:w="0" w:type="dxa"/>
          <w:left w:w="0" w:type="dxa"/>
          <w:bottom w:w="0" w:type="dxa"/>
          <w:right w:w="0" w:type="dxa"/>
        </w:tblCellMar>
      </w:tblPr>
      <w:tblGrid>
        <w:gridCol w:w="38"/>
        <w:gridCol w:w="23"/>
        <w:gridCol w:w="10144"/>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pPr>
            <w:r>
              <w:rPr/>
            </w:r>
          </w:p>
        </w:tc>
        <w:tc>
          <w:tcPr>
            <w:tcW w:w="10144"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Compensation expense for the Anti-Dilution Option was estimated using the Black-Scholes option pricing model with the estimated $11.15 per share price of New Freenome, 6.3 year expected term, 68.9% estimated volatility and risk-free rate of 4.4%.</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51" w:name="fe2d723813614bdcb9cb20fc77950cf9"/>
      <w:bookmarkStart w:id="352" w:name="fe2d723813614bdcb9cb20fc77950cf9"/>
      <w:bookmarkEnd w:id="352"/>
    </w:p>
    <w:tbl>
      <w:tblPr>
        <w:tblW w:w="9996" w:type="dxa"/>
        <w:jc w:val="left"/>
        <w:tblInd w:w="0" w:type="dxa"/>
        <w:tblLayout w:type="fixed"/>
        <w:tblCellMar>
          <w:top w:w="0" w:type="dxa"/>
          <w:left w:w="0" w:type="dxa"/>
          <w:bottom w:w="0" w:type="dxa"/>
          <w:right w:w="0" w:type="dxa"/>
        </w:tblCellMar>
      </w:tblPr>
      <w:tblGrid>
        <w:gridCol w:w="38"/>
        <w:gridCol w:w="23"/>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pPr>
            <w:r>
              <w:rPr/>
            </w:r>
          </w:p>
        </w:tc>
        <w:tc>
          <w:tcPr>
            <w:tcW w:w="99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Compensation expense for the Anti-Dilution RSU grant is based on the estimated $11.15 per share price of New Freenome.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53" w:name="z6d999158d6a243e4a4b988ff4cc1b396"/>
      <w:bookmarkStart w:id="354" w:name="z6d999158d6a243e4a4b988ff4cc1b396"/>
      <w:bookmarkEnd w:id="354"/>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pPr>
            <w:r>
              <w:rPr/>
            </w:r>
          </w:p>
        </w:tc>
        <w:tc>
          <w:tcPr>
            <w:tcW w:w="23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(ff)</w:t>
            </w:r>
          </w:p>
        </w:tc>
        <w:tc>
          <w:tcPr>
            <w:tcW w:w="9929"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Reflects the elimination of interest expense related to the Roche Convertible Note, which will be converted into shares of New Freenome Common Stock as described in Note 2(i) above.</w:t>
            </w:r>
          </w:p>
        </w:tc>
      </w:tr>
    </w:tbl>
    <w:p>
      <w:pPr>
        <w:pStyle w:val="Normal"/>
        <w:bidi w:val="0"/>
        <w:spacing w:before="0" w:after="0"/>
        <w:jc w:val="left"/>
        <w:rPr>
          <w:sz w:val="4"/>
          <w:szCs w:val="4"/>
        </w:rPr>
      </w:pPr>
      <w:r>
        <w:rPr>
          <w:sz w:val="4"/>
          <w:szCs w:val="4"/>
        </w:rPr>
      </w:r>
      <w:bookmarkStart w:id="355" w:name="z4a4dbf4fc1d846ec9ef367fff4f0a94d"/>
      <w:bookmarkStart w:id="356" w:name="z4a4dbf4fc1d846ec9ef367fff4f0a94d"/>
      <w:bookmarkEnd w:id="356"/>
    </w:p>
    <w:tbl>
      <w:tblPr>
        <w:tblW w:w="10205" w:type="dxa"/>
        <w:jc w:val="left"/>
        <w:tblInd w:w="0" w:type="dxa"/>
        <w:tblLayout w:type="fixed"/>
        <w:tblCellMar>
          <w:top w:w="0" w:type="dxa"/>
          <w:left w:w="0" w:type="dxa"/>
          <w:bottom w:w="0" w:type="dxa"/>
          <w:right w:w="0" w:type="dxa"/>
        </w:tblCellMar>
      </w:tblPr>
      <w:tblGrid>
        <w:gridCol w:w="38"/>
        <w:gridCol w:w="311"/>
        <w:gridCol w:w="9856"/>
      </w:tblGrid>
      <w:tr>
        <w:trPr/>
        <w:tc>
          <w:tcPr>
            <w:tcW w:w="38" w:type="dxa"/>
            <w:tcBorders/>
            <w:vAlign w:val="center"/>
          </w:tcPr>
          <w:p>
            <w:pPr>
              <w:pStyle w:val="TableContents"/>
              <w:bidi w:val="0"/>
              <w:spacing w:before="0" w:after="283"/>
              <w:jc w:val="left"/>
              <w:rPr/>
            </w:pPr>
            <w:r>
              <w:rPr/>
            </w:r>
          </w:p>
        </w:tc>
        <w:tc>
          <w:tcPr>
            <w:tcW w:w="3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(gg)</w:t>
            </w:r>
          </w:p>
        </w:tc>
        <w:tc>
          <w:tcPr>
            <w:tcW w:w="9856"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No income tax adjustment is reflected for the six months ended June 30, 2026 and year ended December 31, 2025 based on Freenome’s estimated annual effective tax rate for the years ending December 31, 2026 and 2025, respectively, and Freenome having a full valuation allowance on its net deferred tax asset.</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b/>
          <w:color w:val="000000"/>
          <w:sz w:val="20"/>
        </w:rPr>
        <w:t>3.</w:t>
      </w:r>
      <w:r>
        <w:rPr>
          <w:rFonts w:ascii="Times New Roman" w:hAnsi="Times New Roman"/>
          <w:color w:val="000000"/>
          <w:sz w:val="20"/>
        </w:rPr>
        <w:t> </w:t>
      </w:r>
      <w:r>
        <w:rPr>
          <w:rFonts w:ascii="Times New Roman" w:hAnsi="Times New Roman"/>
          <w:b/>
          <w:color w:val="000000"/>
          <w:sz w:val="20"/>
        </w:rPr>
        <w:t>Loss per Share</w:t>
      </w:r>
    </w:p>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rPr>
      </w:pPr>
      <w:r>
        <w:rPr>
          <w:rFonts w:ascii="Times New Roman" w:hAnsi="Times New Roman"/>
          <w:color w:val="000000"/>
          <w:sz w:val="20"/>
        </w:rPr>
        <w:t>Represents the net loss per share calculated using the historical weighted average shares outstanding, and the issuance of additional shares in connection with the Business Combination, assuming the shares were outstanding since January 1, 2025. As the Business Combination is being reflected as if it had occurred at the beginning of the periods presented, the calculation of weighted average shares outstanding for basic and diluted net loss per share assumes that the shares issuable relating to the Business Combination and related transactions have been outstanding for the entire periods presented.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57" w:name="z611914d58c2f445ea51a8e3f0c81693d"/>
      <w:bookmarkStart w:id="358" w:name="z611914d58c2f445ea51a8e3f0c81693d"/>
      <w:bookmarkEnd w:id="358"/>
    </w:p>
    <w:tbl>
      <w:tblPr>
        <w:tblW w:w="9248" w:type="dxa"/>
        <w:jc w:val="left"/>
        <w:tblInd w:w="0" w:type="dxa"/>
        <w:tblLayout w:type="fixed"/>
        <w:tblCellMar>
          <w:top w:w="0" w:type="dxa"/>
          <w:left w:w="0" w:type="dxa"/>
          <w:bottom w:w="0" w:type="dxa"/>
          <w:right w:w="0" w:type="dxa"/>
        </w:tblCellMar>
      </w:tblPr>
      <w:tblGrid>
        <w:gridCol w:w="5780"/>
        <w:gridCol w:w="60"/>
        <w:gridCol w:w="164"/>
        <w:gridCol w:w="1385"/>
        <w:gridCol w:w="80"/>
        <w:gridCol w:w="60"/>
        <w:gridCol w:w="173"/>
        <w:gridCol w:w="1466"/>
        <w:gridCol w:w="80"/>
      </w:tblGrid>
      <w:tr>
        <w:trPr/>
        <w:tc>
          <w:tcPr>
            <w:tcW w:w="578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154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Six Months Ended</w:t>
              <w:br/>
              <w:t>June 30, 2026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Year Ended</w:t>
              <w:br/>
              <w:t>December 31, 2025</w:t>
            </w:r>
          </w:p>
        </w:tc>
        <w:tc>
          <w:tcPr>
            <w:tcW w:w="80" w:type="dxa"/>
            <w:tcBorders/>
            <w:vAlign w:val="bottom"/>
          </w:tcPr>
          <w:p>
            <w:pPr>
              <w:pStyle w:val="TableContents"/>
              <w:bidi w:val="0"/>
              <w:spacing w:before="0" w:after="283"/>
              <w:jc w:val="left"/>
              <w:rPr/>
            </w:pPr>
            <w:r>
              <w:rPr/>
              <w:t> </w:t>
            </w:r>
          </w:p>
        </w:tc>
      </w:tr>
      <w:tr>
        <w:trPr/>
        <w:tc>
          <w:tcPr>
            <w:tcW w:w="5780" w:type="dxa"/>
            <w:tcBorders/>
            <w:vAlign w:val="bottom"/>
          </w:tcPr>
          <w:p>
            <w:pPr>
              <w:pStyle w:val="TableContents"/>
              <w:bidi w:val="0"/>
              <w:spacing w:before="0" w:after="0"/>
              <w:ind w:left="144" w:right="0" w:hanging="144"/>
              <w:jc w:val="left"/>
              <w:rPr/>
            </w:pPr>
            <w:r>
              <w:rPr/>
              <w:t> </w:t>
            </w:r>
          </w:p>
        </w:tc>
        <w:tc>
          <w:tcPr>
            <w:tcW w:w="60" w:type="dxa"/>
            <w:tcBorders/>
            <w:vAlign w:val="bottom"/>
          </w:tcPr>
          <w:p>
            <w:pPr>
              <w:pStyle w:val="TableContents"/>
              <w:bidi w:val="0"/>
              <w:spacing w:before="0" w:after="283"/>
              <w:jc w:val="left"/>
              <w:rPr/>
            </w:pPr>
            <w:r>
              <w:rPr/>
              <w:t> </w:t>
            </w:r>
          </w:p>
        </w:tc>
        <w:tc>
          <w:tcPr>
            <w:tcW w:w="1549"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9"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r>
      <w:tr>
        <w:trPr/>
        <w:tc>
          <w:tcPr>
            <w:tcW w:w="57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 forma net loss attributable to common shareholders (in thousands)</w:t>
            </w:r>
          </w:p>
        </w:tc>
        <w:tc>
          <w:tcPr>
            <w:tcW w:w="60"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8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(131,660</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7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6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(263,231</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57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Pro forma weighted average shares outstanding, basic and diluted</w:t>
            </w:r>
          </w:p>
        </w:tc>
        <w:tc>
          <w:tcPr>
            <w:tcW w:w="60"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110,280,652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3" w:type="dxa"/>
            <w:tcBorders/>
            <w:vAlign w:val="bottom"/>
          </w:tcPr>
          <w:p>
            <w:pPr>
              <w:pStyle w:val="TableContents"/>
              <w:bidi w:val="0"/>
              <w:spacing w:before="0" w:after="283"/>
              <w:jc w:val="left"/>
              <w:rPr/>
            </w:pPr>
            <w:r>
              <w:rPr/>
              <w:t> </w:t>
            </w:r>
          </w:p>
        </w:tc>
        <w:tc>
          <w:tcPr>
            <w:tcW w:w="146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110,280,652</w:t>
            </w:r>
          </w:p>
        </w:tc>
        <w:tc>
          <w:tcPr>
            <w:tcW w:w="80" w:type="dxa"/>
            <w:tcBorders/>
            <w:vAlign w:val="bottom"/>
          </w:tcPr>
          <w:p>
            <w:pPr>
              <w:pStyle w:val="TableContents"/>
              <w:bidi w:val="0"/>
              <w:spacing w:before="0" w:after="283"/>
              <w:jc w:val="left"/>
              <w:rPr/>
            </w:pPr>
            <w:r>
              <w:rPr/>
              <w:t> </w:t>
            </w:r>
          </w:p>
        </w:tc>
      </w:tr>
      <w:tr>
        <w:trPr/>
        <w:tc>
          <w:tcPr>
            <w:tcW w:w="57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Pro forma net loss per share, basic and diluted</w:t>
            </w:r>
          </w:p>
        </w:tc>
        <w:tc>
          <w:tcPr>
            <w:tcW w:w="60"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38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(1.19</w:t>
            </w:r>
          </w:p>
        </w:tc>
        <w:tc>
          <w:tcPr>
            <w:tcW w:w="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right"/>
              <w:rPr/>
            </w:pPr>
            <w:r>
              <w:rPr/>
              <w:t> </w:t>
            </w:r>
          </w:p>
        </w:tc>
        <w:tc>
          <w:tcPr>
            <w:tcW w:w="17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466"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(2.39</w:t>
            </w:r>
          </w:p>
        </w:tc>
        <w:tc>
          <w:tcPr>
            <w:tcW w:w="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r>
        <w:trPr/>
        <w:tc>
          <w:tcPr>
            <w:tcW w:w="5780"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3" w:type="dxa"/>
            <w:tcBorders/>
            <w:vAlign w:val="bottom"/>
          </w:tcPr>
          <w:p>
            <w:pPr>
              <w:pStyle w:val="TableContents"/>
              <w:bidi w:val="0"/>
              <w:spacing w:before="0" w:after="283"/>
              <w:jc w:val="left"/>
              <w:rPr/>
            </w:pPr>
            <w:r>
              <w:rPr/>
              <w:t> </w:t>
            </w:r>
          </w:p>
        </w:tc>
        <w:tc>
          <w:tcPr>
            <w:tcW w:w="1466"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57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Pro forma weighted average shares calculation, basis and diluted (5)</w:t>
            </w:r>
          </w:p>
        </w:tc>
        <w:tc>
          <w:tcPr>
            <w:tcW w:w="60"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3" w:type="dxa"/>
            <w:tcBorders/>
            <w:shd w:fill="CCEEFF" w:val="clear"/>
            <w:vAlign w:val="bottom"/>
          </w:tcPr>
          <w:p>
            <w:pPr>
              <w:pStyle w:val="TableContents"/>
              <w:bidi w:val="0"/>
              <w:spacing w:before="0" w:after="283"/>
              <w:jc w:val="left"/>
              <w:rPr/>
            </w:pPr>
            <w:r>
              <w:rPr/>
              <w:t> </w:t>
            </w:r>
          </w:p>
        </w:tc>
        <w:tc>
          <w:tcPr>
            <w:tcW w:w="1466"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57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PCSC public stockholders (2)</w:t>
            </w:r>
          </w:p>
        </w:tc>
        <w:tc>
          <w:tcPr>
            <w:tcW w:w="60"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6,478,269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3" w:type="dxa"/>
            <w:tcBorders/>
            <w:vAlign w:val="bottom"/>
          </w:tcPr>
          <w:p>
            <w:pPr>
              <w:pStyle w:val="TableContents"/>
              <w:bidi w:val="0"/>
              <w:spacing w:before="0" w:after="283"/>
              <w:jc w:val="left"/>
              <w:rPr/>
            </w:pPr>
            <w:r>
              <w:rPr/>
              <w:t> </w:t>
            </w:r>
          </w:p>
        </w:tc>
        <w:tc>
          <w:tcPr>
            <w:tcW w:w="146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6,478,269</w:t>
            </w:r>
          </w:p>
        </w:tc>
        <w:tc>
          <w:tcPr>
            <w:tcW w:w="80" w:type="dxa"/>
            <w:tcBorders/>
            <w:vAlign w:val="bottom"/>
          </w:tcPr>
          <w:p>
            <w:pPr>
              <w:pStyle w:val="TableContents"/>
              <w:bidi w:val="0"/>
              <w:spacing w:before="0" w:after="283"/>
              <w:jc w:val="left"/>
              <w:rPr/>
            </w:pPr>
            <w:r>
              <w:rPr/>
              <w:t> </w:t>
            </w:r>
          </w:p>
        </w:tc>
      </w:tr>
      <w:tr>
        <w:trPr/>
        <w:tc>
          <w:tcPr>
            <w:tcW w:w="57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Holders of PCSC sponsor shares (3)</w:t>
            </w:r>
          </w:p>
        </w:tc>
        <w:tc>
          <w:tcPr>
            <w:tcW w:w="60"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2,442,500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3" w:type="dxa"/>
            <w:tcBorders/>
            <w:shd w:fill="CCEEFF" w:val="clear"/>
            <w:vAlign w:val="bottom"/>
          </w:tcPr>
          <w:p>
            <w:pPr>
              <w:pStyle w:val="TableContents"/>
              <w:bidi w:val="0"/>
              <w:spacing w:before="0" w:after="283"/>
              <w:jc w:val="left"/>
              <w:rPr/>
            </w:pPr>
            <w:r>
              <w:rPr/>
              <w:t> </w:t>
            </w:r>
          </w:p>
        </w:tc>
        <w:tc>
          <w:tcPr>
            <w:tcW w:w="146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2,442,500</w:t>
            </w:r>
          </w:p>
        </w:tc>
        <w:tc>
          <w:tcPr>
            <w:tcW w:w="80" w:type="dxa"/>
            <w:tcBorders/>
            <w:shd w:fill="CCEEFF" w:val="clear"/>
            <w:vAlign w:val="bottom"/>
          </w:tcPr>
          <w:p>
            <w:pPr>
              <w:pStyle w:val="TableContents"/>
              <w:bidi w:val="0"/>
              <w:spacing w:before="0" w:after="283"/>
              <w:jc w:val="left"/>
              <w:rPr/>
            </w:pPr>
            <w:r>
              <w:rPr/>
              <w:t> </w:t>
            </w:r>
          </w:p>
        </w:tc>
      </w:tr>
      <w:tr>
        <w:trPr/>
        <w:tc>
          <w:tcPr>
            <w:tcW w:w="57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PIPE Investors (4)</w:t>
            </w:r>
          </w:p>
        </w:tc>
        <w:tc>
          <w:tcPr>
            <w:tcW w:w="60"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24,000,000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3" w:type="dxa"/>
            <w:tcBorders/>
            <w:vAlign w:val="bottom"/>
          </w:tcPr>
          <w:p>
            <w:pPr>
              <w:pStyle w:val="TableContents"/>
              <w:bidi w:val="0"/>
              <w:spacing w:before="0" w:after="283"/>
              <w:jc w:val="left"/>
              <w:rPr/>
            </w:pPr>
            <w:r>
              <w:rPr/>
              <w:t> </w:t>
            </w:r>
          </w:p>
        </w:tc>
        <w:tc>
          <w:tcPr>
            <w:tcW w:w="146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24,000,000</w:t>
            </w:r>
          </w:p>
        </w:tc>
        <w:tc>
          <w:tcPr>
            <w:tcW w:w="80" w:type="dxa"/>
            <w:tcBorders/>
            <w:vAlign w:val="bottom"/>
          </w:tcPr>
          <w:p>
            <w:pPr>
              <w:pStyle w:val="TableContents"/>
              <w:bidi w:val="0"/>
              <w:spacing w:before="0" w:after="283"/>
              <w:jc w:val="left"/>
              <w:rPr/>
            </w:pPr>
            <w:r>
              <w:rPr/>
              <w:t> </w:t>
            </w:r>
          </w:p>
        </w:tc>
      </w:tr>
      <w:tr>
        <w:trPr/>
        <w:tc>
          <w:tcPr>
            <w:tcW w:w="57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Freenome equity holders (1)</w:t>
            </w:r>
          </w:p>
        </w:tc>
        <w:tc>
          <w:tcPr>
            <w:tcW w:w="60"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70,899,267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3" w:type="dxa"/>
            <w:tcBorders/>
            <w:shd w:fill="CCEEFF" w:val="clear"/>
            <w:vAlign w:val="bottom"/>
          </w:tcPr>
          <w:p>
            <w:pPr>
              <w:pStyle w:val="TableContents"/>
              <w:bidi w:val="0"/>
              <w:spacing w:before="0" w:after="283"/>
              <w:jc w:val="left"/>
              <w:rPr/>
            </w:pPr>
            <w:r>
              <w:rPr/>
              <w:t> </w:t>
            </w:r>
          </w:p>
        </w:tc>
        <w:tc>
          <w:tcPr>
            <w:tcW w:w="146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70,899,267</w:t>
            </w:r>
          </w:p>
        </w:tc>
        <w:tc>
          <w:tcPr>
            <w:tcW w:w="80" w:type="dxa"/>
            <w:tcBorders/>
            <w:shd w:fill="CCEEFF" w:val="clear"/>
            <w:vAlign w:val="bottom"/>
          </w:tcPr>
          <w:p>
            <w:pPr>
              <w:pStyle w:val="TableContents"/>
              <w:bidi w:val="0"/>
              <w:spacing w:before="0" w:after="283"/>
              <w:jc w:val="left"/>
              <w:rPr/>
            </w:pPr>
            <w:r>
              <w:rPr/>
              <w:t> </w:t>
            </w:r>
          </w:p>
        </w:tc>
      </w:tr>
      <w:tr>
        <w:trPr/>
        <w:tc>
          <w:tcPr>
            <w:tcW w:w="57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Roche convertible note</w:t>
            </w:r>
          </w:p>
        </w:tc>
        <w:tc>
          <w:tcPr>
            <w:tcW w:w="60" w:type="dxa"/>
            <w:tcBorders/>
            <w:vAlign w:val="bottom"/>
          </w:tcPr>
          <w:p>
            <w:pPr>
              <w:pStyle w:val="TableContents"/>
              <w:bidi w:val="0"/>
              <w:spacing w:before="0" w:after="283"/>
              <w:jc w:val="right"/>
              <w:rPr/>
            </w:pPr>
            <w:r>
              <w:rPr/>
              <w:t> </w:t>
            </w:r>
          </w:p>
        </w:tc>
        <w:tc>
          <w:tcPr>
            <w:tcW w:w="164" w:type="dxa"/>
            <w:tcBorders>
              <w:bottom w:val="single" w:sz="12" w:space="0" w:color="000000"/>
            </w:tcBorders>
            <w:tcMar>
              <w:bottom w:w="28" w:type="dxa"/>
            </w:tcMar>
            <w:vAlign w:val="bottom"/>
          </w:tcPr>
          <w:p>
            <w:pPr>
              <w:pStyle w:val="TableContents"/>
              <w:bidi w:val="0"/>
              <w:spacing w:before="0" w:after="283"/>
              <w:jc w:val="left"/>
              <w:rPr/>
            </w:pPr>
            <w:r>
              <w:rPr/>
              <w:t> </w:t>
            </w:r>
          </w:p>
        </w:tc>
        <w:tc>
          <w:tcPr>
            <w:tcW w:w="138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6,460,616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3" w:type="dxa"/>
            <w:tcBorders>
              <w:bottom w:val="single" w:sz="12" w:space="0" w:color="000000"/>
            </w:tcBorders>
            <w:tcMar>
              <w:bottom w:w="28" w:type="dxa"/>
            </w:tcMar>
            <w:vAlign w:val="bottom"/>
          </w:tcPr>
          <w:p>
            <w:pPr>
              <w:pStyle w:val="TableContents"/>
              <w:bidi w:val="0"/>
              <w:spacing w:before="0" w:after="283"/>
              <w:jc w:val="left"/>
              <w:rPr/>
            </w:pPr>
            <w:r>
              <w:rPr/>
              <w:t> </w:t>
            </w:r>
          </w:p>
        </w:tc>
        <w:tc>
          <w:tcPr>
            <w:tcW w:w="146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6,460,616</w:t>
            </w:r>
          </w:p>
        </w:tc>
        <w:tc>
          <w:tcPr>
            <w:tcW w:w="80" w:type="dxa"/>
            <w:tcBorders/>
            <w:vAlign w:val="bottom"/>
          </w:tcPr>
          <w:p>
            <w:pPr>
              <w:pStyle w:val="TableContents"/>
              <w:bidi w:val="0"/>
              <w:spacing w:before="0" w:after="283"/>
              <w:jc w:val="left"/>
              <w:rPr/>
            </w:pPr>
            <w:r>
              <w:rPr/>
              <w:t> </w:t>
            </w:r>
          </w:p>
        </w:tc>
      </w:tr>
      <w:tr>
        <w:trPr/>
        <w:tc>
          <w:tcPr>
            <w:tcW w:w="5780" w:type="dxa"/>
            <w:tcBorders/>
            <w:shd w:fill="CCEEFF" w:val="clear"/>
            <w:vAlign w:val="bottom"/>
          </w:tcPr>
          <w:p>
            <w:pPr>
              <w:pStyle w:val="TableContents"/>
              <w:bidi w:val="0"/>
              <w:spacing w:before="0" w:after="283"/>
              <w:jc w:val="left"/>
              <w:rPr/>
            </w:pPr>
            <w:r>
              <w:rPr/>
            </w:r>
          </w:p>
        </w:tc>
        <w:tc>
          <w:tcPr>
            <w:tcW w:w="60" w:type="dxa"/>
            <w:tcBorders/>
            <w:shd w:fill="CCEEFF" w:val="clear"/>
            <w:vAlign w:val="bottom"/>
          </w:tcPr>
          <w:p>
            <w:pPr>
              <w:pStyle w:val="TableContents"/>
              <w:bidi w:val="0"/>
              <w:spacing w:before="0" w:after="283"/>
              <w:jc w:val="right"/>
              <w:rPr/>
            </w:pPr>
            <w:r>
              <w:rPr/>
              <w:t> </w:t>
            </w:r>
          </w:p>
        </w:tc>
        <w:tc>
          <w:tcPr>
            <w:tcW w:w="164"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38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110,280,652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3"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46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110,280,652</w:t>
            </w:r>
          </w:p>
        </w:tc>
        <w:tc>
          <w:tcPr>
            <w:tcW w:w="8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59" w:name="z727d074d89994da2b6129a3a6d7e73b2"/>
      <w:bookmarkStart w:id="360" w:name="z727d074d89994da2b6129a3a6d7e73b2"/>
      <w:bookmarkEnd w:id="360"/>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pPr>
            <w:r>
              <w:rPr/>
            </w:r>
          </w:p>
        </w:tc>
        <w:tc>
          <w:tcPr>
            <w:tcW w:w="20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9963"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Includes 2,833,838 shares underlying Freenome restricted stock units that will vest six months following the Closing as the issuance of shares will no longer be contingent on any conditions except the passage of time. Includes 5,371,847 shares of Freenome Common Stock issued to the Perceptive PIPE Investor upon conversion of Freenome capital stock.</w:t>
            </w:r>
          </w:p>
        </w:tc>
      </w:tr>
    </w:tbl>
    <w:p>
      <w:pPr>
        <w:pStyle w:val="Normal"/>
        <w:bidi w:val="0"/>
        <w:spacing w:before="0" w:after="0"/>
        <w:jc w:val="left"/>
        <w:rPr>
          <w:sz w:val="4"/>
          <w:szCs w:val="4"/>
        </w:rPr>
      </w:pPr>
      <w:r>
        <w:rPr>
          <w:sz w:val="4"/>
          <w:szCs w:val="4"/>
        </w:rPr>
      </w:r>
      <w:bookmarkStart w:id="361" w:name="z7ba838a8b1e345fd8a1ce26da954165c"/>
      <w:bookmarkStart w:id="362" w:name="z7ba838a8b1e345fd8a1ce26da954165c"/>
      <w:bookmarkEnd w:id="362"/>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pPr>
            <w:r>
              <w:rPr/>
            </w:r>
          </w:p>
        </w:tc>
        <w:tc>
          <w:tcPr>
            <w:tcW w:w="23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993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Reflects 7,870,992 PCSC Class A Shares outstanding as of June 30, 2026, less 1,392,723 PCSC Class A Shares redeemed in connection with the Closing.</w:t>
            </w:r>
          </w:p>
        </w:tc>
      </w:tr>
    </w:tbl>
    <w:p>
      <w:pPr>
        <w:pStyle w:val="Normal"/>
        <w:bidi w:val="0"/>
        <w:spacing w:before="0" w:after="0"/>
        <w:jc w:val="left"/>
        <w:rPr>
          <w:sz w:val="4"/>
          <w:szCs w:val="4"/>
        </w:rPr>
      </w:pPr>
      <w:r>
        <w:rPr>
          <w:sz w:val="4"/>
          <w:szCs w:val="4"/>
        </w:rPr>
      </w:r>
      <w:bookmarkStart w:id="363" w:name="z15ab016ad45e4e979f79405edb846131"/>
      <w:bookmarkStart w:id="364" w:name="z15ab016ad45e4e979f79405edb846131"/>
      <w:bookmarkEnd w:id="364"/>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pPr>
            <w:r>
              <w:rPr/>
            </w:r>
          </w:p>
        </w:tc>
        <w:tc>
          <w:tcPr>
            <w:tcW w:w="22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9944"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Includes 2,066,250 PCSC Class B Shares and 286,250 PCSC Class A private placement shares held by the Sponsor and 90,000 PCSC Class B Shares held by PCSC independent directors.</w:t>
            </w:r>
          </w:p>
        </w:tc>
      </w:tr>
    </w:tbl>
    <w:p>
      <w:pPr>
        <w:pStyle w:val="Normal"/>
        <w:bidi w:val="0"/>
        <w:spacing w:before="0" w:after="0"/>
        <w:jc w:val="left"/>
        <w:rPr>
          <w:sz w:val="4"/>
          <w:szCs w:val="4"/>
        </w:rPr>
      </w:pPr>
      <w:r>
        <w:rPr>
          <w:sz w:val="4"/>
          <w:szCs w:val="4"/>
        </w:rPr>
      </w:r>
      <w:bookmarkStart w:id="365" w:name="zae3683d363574cb38a3369ab18bbe118"/>
      <w:bookmarkStart w:id="366" w:name="zae3683d363574cb38a3369ab18bbe118"/>
      <w:bookmarkEnd w:id="366"/>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pPr>
            <w:r>
              <w:rPr/>
            </w:r>
          </w:p>
        </w:tc>
        <w:tc>
          <w:tcPr>
            <w:tcW w:w="21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w:t>
            </w:r>
          </w:p>
        </w:tc>
        <w:tc>
          <w:tcPr>
            <w:tcW w:w="9948"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Includes 5,500,000 PIPE Shares issued to the Perceptive PIPE Investor, 5,255,376 PIPE Shares issued to an existing Freenome equity holder and 13,244,624 PIPE Shares issued to third-party PIPE Investors.</w:t>
            </w:r>
          </w:p>
        </w:tc>
      </w:tr>
    </w:tbl>
    <w:p>
      <w:pPr>
        <w:pStyle w:val="Normal"/>
        <w:bidi w:val="0"/>
        <w:spacing w:before="0" w:after="0"/>
        <w:jc w:val="left"/>
        <w:rPr>
          <w:sz w:val="4"/>
          <w:szCs w:val="4"/>
        </w:rPr>
      </w:pPr>
      <w:r>
        <w:rPr>
          <w:sz w:val="4"/>
          <w:szCs w:val="4"/>
        </w:rPr>
      </w:r>
      <w:bookmarkStart w:id="367" w:name="z5b51d725041241e585674b2d2cc6d1d8"/>
      <w:bookmarkStart w:id="368" w:name="z5b51d725041241e585674b2d2cc6d1d8"/>
      <w:bookmarkEnd w:id="368"/>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pPr>
            <w:r>
              <w:rPr/>
            </w:r>
          </w:p>
        </w:tc>
        <w:tc>
          <w:tcPr>
            <w:tcW w:w="24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w:t>
            </w:r>
          </w:p>
        </w:tc>
        <w:tc>
          <w:tcPr>
            <w:tcW w:w="992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The pro forma weighted average shares, basic and diluted exclude the following because including them would be antidilutive:</w:t>
            </w:r>
          </w:p>
        </w:tc>
      </w:tr>
    </w:tbl>
    <w:p>
      <w:pPr>
        <w:pStyle w:val="Normal"/>
        <w:bidi w:val="0"/>
        <w:spacing w:before="0" w:after="0"/>
        <w:jc w:val="left"/>
        <w:rPr>
          <w:sz w:val="4"/>
          <w:szCs w:val="4"/>
        </w:rPr>
      </w:pPr>
      <w:r>
        <w:rPr>
          <w:sz w:val="4"/>
          <w:szCs w:val="4"/>
        </w:rPr>
      </w:r>
      <w:bookmarkStart w:id="369" w:name="zf53776587e2549829e1fa4d26e22d71d"/>
      <w:bookmarkStart w:id="370" w:name="zf53776587e2549829e1fa4d26e22d71d"/>
      <w:bookmarkEnd w:id="370"/>
    </w:p>
    <w:tbl>
      <w:tblPr>
        <w:tblW w:w="5965" w:type="dxa"/>
        <w:jc w:val="left"/>
        <w:tblInd w:w="0" w:type="dxa"/>
        <w:tblLayout w:type="fixed"/>
        <w:tblCellMar>
          <w:top w:w="0" w:type="dxa"/>
          <w:left w:w="0" w:type="dxa"/>
          <w:bottom w:w="0" w:type="dxa"/>
          <w:right w:w="0" w:type="dxa"/>
        </w:tblCellMar>
      </w:tblPr>
      <w:tblGrid>
        <w:gridCol w:w="75"/>
        <w:gridCol w:w="110"/>
        <w:gridCol w:w="57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0000"/>
              </w:rPr>
            </w:pPr>
            <w:r>
              <w:rPr>
                <w:color w:val="000000"/>
              </w:rPr>
              <w:t>•</w:t>
            </w:r>
          </w:p>
        </w:tc>
        <w:tc>
          <w:tcPr>
            <w:tcW w:w="5780"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3,342,294 shares issuable upon conversion of the Exact Sciences Note;</w:t>
            </w:r>
          </w:p>
        </w:tc>
      </w:tr>
    </w:tbl>
    <w:p>
      <w:pPr>
        <w:pStyle w:val="Normal"/>
        <w:bidi w:val="0"/>
        <w:spacing w:before="0" w:after="0"/>
        <w:jc w:val="left"/>
        <w:rPr>
          <w:sz w:val="4"/>
          <w:szCs w:val="4"/>
        </w:rPr>
      </w:pPr>
      <w:r>
        <w:rPr>
          <w:sz w:val="4"/>
          <w:szCs w:val="4"/>
        </w:rPr>
      </w:r>
      <w:bookmarkStart w:id="371" w:name="za9fb649e51474f778eea8e92e54d4cce"/>
      <w:bookmarkStart w:id="372" w:name="za9fb649e51474f778eea8e92e54d4cce"/>
      <w:bookmarkEnd w:id="372"/>
    </w:p>
    <w:tbl>
      <w:tblPr>
        <w:tblW w:w="4068" w:type="dxa"/>
        <w:jc w:val="left"/>
        <w:tblInd w:w="0" w:type="dxa"/>
        <w:tblLayout w:type="fixed"/>
        <w:tblCellMar>
          <w:top w:w="0" w:type="dxa"/>
          <w:left w:w="0" w:type="dxa"/>
          <w:bottom w:w="0" w:type="dxa"/>
          <w:right w:w="0" w:type="dxa"/>
        </w:tblCellMar>
      </w:tblPr>
      <w:tblGrid>
        <w:gridCol w:w="38"/>
        <w:gridCol w:w="110"/>
        <w:gridCol w:w="39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3920"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8,272,601 unexercised Freenome stock options;</w:t>
            </w:r>
          </w:p>
        </w:tc>
      </w:tr>
    </w:tbl>
    <w:p>
      <w:pPr>
        <w:pStyle w:val="Normal"/>
        <w:bidi w:val="0"/>
        <w:spacing w:before="0" w:after="0"/>
        <w:jc w:val="left"/>
        <w:rPr>
          <w:sz w:val="4"/>
          <w:szCs w:val="4"/>
        </w:rPr>
      </w:pPr>
      <w:r>
        <w:rPr>
          <w:sz w:val="4"/>
          <w:szCs w:val="4"/>
        </w:rPr>
      </w:r>
      <w:bookmarkStart w:id="373" w:name="z2953b952ce9748648f83737af1816dee"/>
      <w:bookmarkStart w:id="374" w:name="z2953b952ce9748648f83737af1816dee"/>
      <w:bookmarkEnd w:id="374"/>
    </w:p>
    <w:tbl>
      <w:tblPr>
        <w:tblW w:w="7698" w:type="dxa"/>
        <w:jc w:val="left"/>
        <w:tblInd w:w="0" w:type="dxa"/>
        <w:tblLayout w:type="fixed"/>
        <w:tblCellMar>
          <w:top w:w="0" w:type="dxa"/>
          <w:left w:w="0" w:type="dxa"/>
          <w:bottom w:w="0" w:type="dxa"/>
          <w:right w:w="0" w:type="dxa"/>
        </w:tblCellMar>
      </w:tblPr>
      <w:tblGrid>
        <w:gridCol w:w="38"/>
        <w:gridCol w:w="110"/>
        <w:gridCol w:w="755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7550"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1,201,043 unvested Freenome restricted stock units that remain subject to future service; and</w:t>
            </w:r>
          </w:p>
        </w:tc>
      </w:tr>
    </w:tbl>
    <w:p>
      <w:pPr>
        <w:pStyle w:val="Normal"/>
        <w:bidi w:val="0"/>
        <w:spacing w:before="0" w:after="0"/>
        <w:jc w:val="left"/>
        <w:rPr>
          <w:sz w:val="4"/>
          <w:szCs w:val="4"/>
        </w:rPr>
      </w:pPr>
      <w:r>
        <w:rPr>
          <w:sz w:val="4"/>
          <w:szCs w:val="4"/>
        </w:rPr>
      </w:r>
      <w:bookmarkStart w:id="375" w:name="zb32bfa7967aa4cccb6c289828dc1e79a"/>
      <w:bookmarkStart w:id="376" w:name="zb32bfa7967aa4cccb6c289828dc1e79a"/>
      <w:bookmarkEnd w:id="376"/>
    </w:p>
    <w:tbl>
      <w:tblPr>
        <w:tblW w:w="1473" w:type="dxa"/>
        <w:jc w:val="left"/>
        <w:tblInd w:w="0" w:type="dxa"/>
        <w:tblLayout w:type="fixed"/>
        <w:tblCellMar>
          <w:top w:w="0" w:type="dxa"/>
          <w:left w:w="0" w:type="dxa"/>
          <w:bottom w:w="0" w:type="dxa"/>
          <w:right w:w="0" w:type="dxa"/>
        </w:tblCellMar>
      </w:tblPr>
      <w:tblGrid>
        <w:gridCol w:w="38"/>
        <w:gridCol w:w="110"/>
        <w:gridCol w:w="13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32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14,003 warrants</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27168</Words>
  <Characters>152345</Characters>
  <CharactersWithSpaces>181680</CharactersWithSpaces>
  <Paragraphs>9023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