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Freenome,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IPConcept (Luxemburg) S.A.</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FI</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1999"/>
        <w:gridCol w:w="8206"/>
      </w:tblGrid>
      <w:tr>
        <w:trPr/>
        <w:tc>
          <w:tcPr>
            <w:tcW w:w="1999" w:type="dxa"/>
            <w:tcBorders/>
            <w:vAlign w:val="center"/>
          </w:tcPr>
          <w:p>
            <w:pPr>
              <w:pStyle w:val="TableContents"/>
              <w:bidi w:val="0"/>
              <w:spacing w:before="0" w:after="283"/>
              <w:jc w:val="left"/>
              <w:rPr/>
            </w:pPr>
            <w:r>
              <w:rPr/>
              <w:t>1</w:t>
            </w:r>
          </w:p>
        </w:tc>
        <w:tc>
          <w:tcPr>
            <w:tcW w:w="820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BIT Global Technology Opportunities SICAV-FIS</w:t>
            </w:r>
          </w:p>
        </w:tc>
      </w:tr>
      <w:tr>
        <w:trPr/>
        <w:tc>
          <w:tcPr>
            <w:tcW w:w="1999" w:type="dxa"/>
            <w:tcBorders/>
            <w:vAlign w:val="center"/>
          </w:tcPr>
          <w:p>
            <w:pPr>
              <w:pStyle w:val="TableContents"/>
              <w:bidi w:val="0"/>
              <w:spacing w:before="0" w:after="283"/>
              <w:jc w:val="left"/>
              <w:rPr/>
            </w:pPr>
            <w:r>
              <w:rPr/>
              <w:t>2</w:t>
            </w:r>
          </w:p>
        </w:tc>
        <w:tc>
          <w:tcPr>
            <w:tcW w:w="820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1999" w:type="dxa"/>
            <w:tcBorders/>
            <w:vAlign w:val="center"/>
          </w:tcPr>
          <w:p>
            <w:pPr>
              <w:pStyle w:val="TableContents"/>
              <w:bidi w:val="0"/>
              <w:spacing w:before="0" w:after="283"/>
              <w:jc w:val="left"/>
              <w:rPr/>
            </w:pPr>
            <w:r>
              <w:rPr/>
              <w:t>3</w:t>
            </w:r>
          </w:p>
        </w:tc>
        <w:tc>
          <w:tcPr>
            <w:tcW w:w="8206" w:type="dxa"/>
            <w:tcBorders/>
            <w:vAlign w:val="center"/>
          </w:tcPr>
          <w:p>
            <w:pPr>
              <w:pStyle w:val="TableContents"/>
              <w:bidi w:val="0"/>
              <w:spacing w:before="0" w:after="283"/>
              <w:jc w:val="left"/>
              <w:rPr/>
            </w:pPr>
            <w:r>
              <w:rPr/>
              <w:t>Sec Use Only</w:t>
            </w:r>
          </w:p>
        </w:tc>
      </w:tr>
      <w:tr>
        <w:trPr/>
        <w:tc>
          <w:tcPr>
            <w:tcW w:w="1999" w:type="dxa"/>
            <w:tcBorders/>
            <w:vAlign w:val="center"/>
          </w:tcPr>
          <w:p>
            <w:pPr>
              <w:pStyle w:val="TableContents"/>
              <w:bidi w:val="0"/>
              <w:spacing w:before="0" w:after="283"/>
              <w:jc w:val="left"/>
              <w:rPr/>
            </w:pPr>
            <w:r>
              <w:rPr/>
              <w:t>4</w:t>
            </w:r>
          </w:p>
        </w:tc>
        <w:tc>
          <w:tcPr>
            <w:tcW w:w="820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LUXEMBOURG </w:t>
            </w:r>
          </w:p>
        </w:tc>
      </w:tr>
      <w:tr>
        <w:trPr/>
        <w:tc>
          <w:tcPr>
            <w:tcW w:w="199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06" w:type="dxa"/>
            <w:tcBorders/>
            <w:vAlign w:val="center"/>
          </w:tcPr>
          <w:p>
            <w:pPr>
              <w:pStyle w:val="TableContents"/>
              <w:bidi w:val="0"/>
              <w:spacing w:before="0" w:after="283"/>
              <w:jc w:val="left"/>
              <w:rPr>
                <w:sz w:val="4"/>
                <w:szCs w:val="4"/>
              </w:rPr>
            </w:pPr>
            <w:r>
              <w:rPr>
                <w:sz w:val="4"/>
                <w:szCs w:val="4"/>
              </w:rPr>
            </w:r>
          </w:p>
        </w:tc>
      </w:tr>
      <w:tr>
        <w:trPr/>
        <w:tc>
          <w:tcPr>
            <w:tcW w:w="1999" w:type="dxa"/>
            <w:tcBorders/>
            <w:vAlign w:val="center"/>
          </w:tcPr>
          <w:p>
            <w:pPr>
              <w:pStyle w:val="TableContents"/>
              <w:bidi w:val="0"/>
              <w:spacing w:before="0" w:after="283"/>
              <w:jc w:val="left"/>
              <w:rPr/>
            </w:pPr>
            <w:r>
              <w:rPr/>
              <w:t>9</w:t>
            </w:r>
          </w:p>
        </w:tc>
        <w:tc>
          <w:tcPr>
            <w:tcW w:w="820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99" w:type="dxa"/>
            <w:tcBorders/>
            <w:vAlign w:val="center"/>
          </w:tcPr>
          <w:p>
            <w:pPr>
              <w:pStyle w:val="TableContents"/>
              <w:bidi w:val="0"/>
              <w:spacing w:before="0" w:after="283"/>
              <w:jc w:val="left"/>
              <w:rPr/>
            </w:pPr>
            <w:r>
              <w:rPr/>
              <w:t>10</w:t>
            </w:r>
          </w:p>
        </w:tc>
        <w:tc>
          <w:tcPr>
            <w:tcW w:w="820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1999" w:type="dxa"/>
            <w:tcBorders/>
            <w:vAlign w:val="center"/>
          </w:tcPr>
          <w:p>
            <w:pPr>
              <w:pStyle w:val="TableContents"/>
              <w:bidi w:val="0"/>
              <w:spacing w:before="0" w:after="283"/>
              <w:jc w:val="left"/>
              <w:rPr/>
            </w:pPr>
            <w:r>
              <w:rPr/>
              <w:t>11</w:t>
            </w:r>
          </w:p>
        </w:tc>
        <w:tc>
          <w:tcPr>
            <w:tcW w:w="820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99" w:type="dxa"/>
            <w:tcBorders/>
            <w:vAlign w:val="center"/>
          </w:tcPr>
          <w:p>
            <w:pPr>
              <w:pStyle w:val="TableContents"/>
              <w:bidi w:val="0"/>
              <w:spacing w:before="0" w:after="283"/>
              <w:jc w:val="left"/>
              <w:rPr/>
            </w:pPr>
            <w:r>
              <w:rPr/>
              <w:t>12</w:t>
            </w:r>
          </w:p>
        </w:tc>
        <w:tc>
          <w:tcPr>
            <w:tcW w:w="820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10"/>
        <w:gridCol w:w="9040"/>
        <w:gridCol w:w="155"/>
      </w:tblGrid>
      <w:tr>
        <w:trPr/>
        <w:tc>
          <w:tcPr>
            <w:tcW w:w="1010" w:type="dxa"/>
            <w:tcBorders/>
            <w:vAlign w:val="center"/>
          </w:tcPr>
          <w:p>
            <w:pPr>
              <w:pStyle w:val="TableContents"/>
              <w:bidi w:val="0"/>
              <w:spacing w:before="0" w:after="283"/>
              <w:jc w:val="left"/>
              <w:rPr/>
            </w:pPr>
            <w:r>
              <w:rPr/>
              <w:t>Item 1.</w:t>
            </w:r>
          </w:p>
        </w:tc>
        <w:tc>
          <w:tcPr>
            <w:tcW w:w="90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Name of issuer: </w:t>
            </w:r>
          </w:p>
          <w:p>
            <w:pPr>
              <w:pStyle w:val="TableContents"/>
              <w:bidi w:val="0"/>
              <w:spacing w:before="0" w:after="0"/>
              <w:jc w:val="left"/>
              <w:rPr/>
            </w:pPr>
            <w:r>
              <w:rPr/>
              <w:t>Freenome, Inc.</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GENESIS MARINA, 3300 MARINA BLVD, BRISBANE, CA, 94005</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2.</w:t>
            </w:r>
          </w:p>
        </w:tc>
        <w:tc>
          <w:tcPr>
            <w:tcW w:w="90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IPConcept (Luxembourg) S.A. BIT Global Technology Opportunities SICAV-FIS</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IPConcept (Luxembourg) S.A. 4, rue Thomas Edison L-1445 Strassen, Luxembourg BIT Global Technology Opportunities SICAV-FIS 4, rue Thomas Edison L-1445 Strassen, Luxembourg</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jc w:val="left"/>
              <w:rPr/>
            </w:pPr>
            <w:r>
              <w:rPr/>
              <w:t xml:space="preserve">Citizenship: </w:t>
            </w:r>
          </w:p>
          <w:p>
            <w:pPr>
              <w:pStyle w:val="TableContents"/>
              <w:bidi w:val="0"/>
              <w:spacing w:before="0" w:after="0"/>
              <w:jc w:val="left"/>
              <w:rPr/>
            </w:pPr>
            <w:r>
              <w:rPr/>
              <w:t>IPConcept (Luxembourg) S.A. - Luxembourg BIT Global Technology Opportunities SICAV-FIS - Luxembourg</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3.</w:t>
            </w:r>
          </w:p>
        </w:tc>
        <w:tc>
          <w:tcPr>
            <w:tcW w:w="90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(d)</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(e)</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(f)</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(g)</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(h)</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(j)</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(k)</w:t>
            </w:r>
          </w:p>
        </w:tc>
        <w:tc>
          <w:tcPr>
            <w:tcW w:w="904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195" w:type="dxa"/>
            <w:gridSpan w:val="2"/>
            <w:tcBorders/>
            <w:vAlign w:val="center"/>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4.</w:t>
            </w:r>
          </w:p>
        </w:tc>
        <w:tc>
          <w:tcPr>
            <w:tcW w:w="90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(a)</w:t>
            </w:r>
          </w:p>
        </w:tc>
        <w:tc>
          <w:tcPr>
            <w:tcW w:w="90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IPConcept (Luxembourg) S.A. - 0 BIT Global Technology Opportunities SICAV-FIS - 0</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(b)</w:t>
            </w:r>
          </w:p>
        </w:tc>
        <w:tc>
          <w:tcPr>
            <w:tcW w:w="90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IPConcept (Luxembourg) S.A. - 0% BIT Global Technology Opportunities SICAV-FIS - 0%  %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(c)</w:t>
            </w:r>
          </w:p>
        </w:tc>
        <w:tc>
          <w:tcPr>
            <w:tcW w:w="90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IPConcept (Luxembourg) S.A. - 0 BIT Global Technology Opportunities SICAV-FIS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IPConcept (Luxembourg) S.A. - 0 BIT Global Technology Opportunities SICAV-FIS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IPConcept (Luxembourg) S.A. - 0 BIT Global Technology Opportunities SICAV-FIS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IPConcept (Luxembourg) S.A. - 0 BIT Global Technology Opportunities SICAV-FIS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5.</w:t>
            </w:r>
          </w:p>
        </w:tc>
        <w:tc>
          <w:tcPr>
            <w:tcW w:w="90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6.</w:t>
            </w:r>
          </w:p>
        </w:tc>
        <w:tc>
          <w:tcPr>
            <w:tcW w:w="90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7.</w:t>
            </w:r>
          </w:p>
        </w:tc>
        <w:tc>
          <w:tcPr>
            <w:tcW w:w="90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8.</w:t>
            </w:r>
          </w:p>
        </w:tc>
        <w:tc>
          <w:tcPr>
            <w:tcW w:w="90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Item 9.</w:t>
            </w:r>
          </w:p>
        </w:tc>
        <w:tc>
          <w:tcPr>
            <w:tcW w:w="90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10" w:type="dxa"/>
            <w:tcBorders/>
            <w:vAlign w:val="center"/>
          </w:tcPr>
          <w:p>
            <w:pPr>
              <w:pStyle w:val="TableContents"/>
              <w:bidi w:val="0"/>
              <w:spacing w:before="0" w:after="283"/>
              <w:jc w:val="left"/>
              <w:rPr/>
            </w:pPr>
            <w:r>
              <w:rPr/>
              <w:t> </w:t>
            </w:r>
          </w:p>
        </w:tc>
        <w:tc>
          <w:tcPr>
            <w:tcW w:w="90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IPConcept (Luxemburg) S.A.</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1"/>
        <w:gridCol w:w="4364"/>
      </w:tblGrid>
      <w:tr>
        <w:trPr/>
        <w:tc>
          <w:tcPr>
            <w:tcW w:w="58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Daniela Schiffels</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Daniela Schiffels, Managing Director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Jorg Hugel</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Jorg Hugel, Managing Director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14"/>
        <w:gridCol w:w="5091"/>
      </w:tblGrid>
      <w:tr>
        <w:trPr/>
        <w:tc>
          <w:tcPr>
            <w:tcW w:w="5114" w:type="dxa"/>
            <w:tcBorders/>
            <w:vAlign w:val="center"/>
          </w:tcPr>
          <w:p>
            <w:pPr>
              <w:pStyle w:val="TableContents"/>
              <w:bidi w:val="0"/>
              <w:spacing w:before="0" w:after="0"/>
              <w:jc w:val="left"/>
              <w:rPr/>
            </w:pPr>
            <w:r>
              <w:rPr/>
              <w:t> </w:t>
            </w:r>
          </w:p>
          <w:tbl>
            <w:tblPr>
              <w:tblW w:w="5026" w:type="dxa"/>
              <w:jc w:val="left"/>
              <w:tblInd w:w="0" w:type="dxa"/>
              <w:tblLayout w:type="fixed"/>
              <w:tblCellMar>
                <w:top w:w="28" w:type="dxa"/>
                <w:left w:w="28" w:type="dxa"/>
                <w:bottom w:w="28" w:type="dxa"/>
                <w:right w:w="28" w:type="dxa"/>
              </w:tblCellMar>
            </w:tblPr>
            <w:tblGrid>
              <w:gridCol w:w="5026"/>
            </w:tblGrid>
            <w:tr>
              <w:trPr/>
              <w:tc>
                <w:tcPr>
                  <w:tcW w:w="5026" w:type="dxa"/>
                  <w:tcBorders/>
                  <w:vAlign w:val="center"/>
                </w:tcPr>
                <w:p>
                  <w:pPr>
                    <w:pStyle w:val="TableContents"/>
                    <w:bidi w:val="0"/>
                    <w:spacing w:before="0" w:after="0"/>
                    <w:jc w:val="left"/>
                    <w:rPr/>
                  </w:pPr>
                  <w:r>
                    <w:rPr/>
                    <w:t>BIT Global Technology Opportunities SICAV-FIS</w:t>
                  </w:r>
                </w:p>
              </w:tc>
            </w:tr>
          </w:tbl>
          <w:p>
            <w:pPr>
              <w:pStyle w:val="TableContents"/>
              <w:bidi w:val="0"/>
              <w:spacing w:before="0" w:after="283"/>
              <w:jc w:val="left"/>
              <w:rPr/>
            </w:pPr>
            <w:r>
              <w:rPr/>
            </w:r>
          </w:p>
        </w:tc>
        <w:tc>
          <w:tcPr>
            <w:tcW w:w="50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5"/>
        <w:gridCol w:w="4370"/>
      </w:tblGrid>
      <w:tr>
        <w:trPr/>
        <w:tc>
          <w:tcPr>
            <w:tcW w:w="58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Dr. Matthias Thom</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Dr. Matthias Thom, Chairman of the Board of Directors</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Emmanouil Larentzakis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Emmanouil Larentzakis, Board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center"/>
              <w:rPr>
                <w:b/>
              </w:rPr>
            </w:pPr>
            <w:r>
              <w:rPr>
                <w:b/>
              </w:rPr>
              <w:t xml:space="preserve">Exhibit Information </w:t>
            </w:r>
          </w:p>
        </w:tc>
      </w:tr>
      <w:tr>
        <w:trPr/>
        <w:tc>
          <w:tcPr>
            <w:tcW w:w="3466" w:type="dxa"/>
            <w:tcBorders/>
            <w:vAlign w:val="center"/>
          </w:tcPr>
          <w:p>
            <w:pPr>
              <w:pStyle w:val="TableContents"/>
              <w:bidi w:val="0"/>
              <w:spacing w:before="0" w:after="283"/>
              <w:jc w:val="left"/>
              <w:rPr/>
            </w:pPr>
            <w:r>
              <w:rPr/>
              <w:t>Exhibit A - Joint Filing Agreement</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20" w:name="p15043431ex_a.htm"/>
      <w:bookmarkStart w:id="21" w:name="ksp15043431ex_a"/>
      <w:bookmarkEnd w:id="20"/>
      <w:bookmarkEnd w:id="21"/>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13G/A dated August 12, 2026 relating to the Class A Ordinary Shares, par value $0.0001 per share, of Perceptive Capital Solutions Corp shall be filed on behalf of the undersigned.</w:t>
      </w:r>
    </w:p>
    <w:tbl>
      <w:tblPr>
        <w:tblW w:w="5000" w:type="pct"/>
        <w:jc w:val="left"/>
        <w:tblInd w:w="0" w:type="dxa"/>
        <w:tblLayout w:type="fixed"/>
        <w:tblCellMar>
          <w:top w:w="0" w:type="dxa"/>
          <w:left w:w="0" w:type="dxa"/>
          <w:bottom w:w="0" w:type="dxa"/>
          <w:right w:w="0" w:type="dxa"/>
        </w:tblCellMar>
      </w:tblPr>
      <w:tblGrid>
        <w:gridCol w:w="119"/>
        <w:gridCol w:w="832"/>
        <w:gridCol w:w="9254"/>
      </w:tblGrid>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center"/>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lef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IPCONCEPT (LUXEMBOURG) S.A.</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center"/>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Daniela Schiffels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Daniela Schiffels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Director</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Jorg Hugel</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Jorg Hugel</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Director</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left"/>
              <w:rPr>
                <w:rFonts w:ascii="Times New Roman;Times;Serif" w:hAnsi="Times New Roman;Times;Serif"/>
                <w:b/>
                <w:i w:val="false"/>
                <w:caps/>
                <w:sz w:val="22"/>
              </w:rPr>
            </w:pPr>
            <w:r>
              <w:rPr>
                <w:rFonts w:ascii="Times New Roman;Times;Serif" w:hAnsi="Times New Roman;Times;Serif"/>
                <w:b/>
                <w:i w:val="false"/>
                <w:caps/>
                <w:sz w:val="22"/>
              </w:rPr>
              <w:t>BIT Global Technology Opportunities SICAV-FIS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10086"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Dr. Matthias Thom</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Dr. Matthias Thom</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Chairman of the Board of Directors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caps w:val="false"/>
                <w:smallCaps w:val="false"/>
              </w:rPr>
            </w:pPr>
            <w:r>
              <w:rPr>
                <w:caps w:val="false"/>
                <w:smallCaps w:val="false"/>
              </w:rPr>
              <w:t> </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Emmanouil Larentzakis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Emmanouil Larentzakis</w:t>
            </w:r>
          </w:p>
        </w:tc>
      </w:tr>
      <w:tr>
        <w:trPr/>
        <w:tc>
          <w:tcPr>
            <w:tcW w:w="119" w:type="dxa"/>
            <w:tcBorders/>
            <w:vAlign w:val="center"/>
          </w:tcPr>
          <w:p>
            <w:pPr>
              <w:pStyle w:val="TableContents"/>
              <w:bidi w:val="0"/>
              <w:spacing w:before="0" w:after="0"/>
              <w:jc w:val="left"/>
              <w:rPr>
                <w:caps w:val="false"/>
                <w:smallCaps w:val="false"/>
              </w:rPr>
            </w:pPr>
            <w:r>
              <w:rPr>
                <w:caps w:val="false"/>
                <w:smallCaps w:val="false"/>
              </w:rPr>
              <w:t> </w:t>
            </w:r>
          </w:p>
        </w:tc>
        <w:tc>
          <w:tcPr>
            <w:tcW w:w="832" w:type="dxa"/>
            <w:tcBorders/>
            <w:vAlign w:val="center"/>
          </w:tcPr>
          <w:p>
            <w:pPr>
              <w:pStyle w:val="TableContents"/>
              <w:bidi w:val="0"/>
              <w:spacing w:before="0" w:after="0"/>
              <w:jc w:val="left"/>
              <w:rPr>
                <w:caps w:val="false"/>
                <w:smallCaps w:val="false"/>
              </w:rPr>
            </w:pPr>
            <w:r>
              <w:rPr>
                <w:caps w:val="false"/>
                <w:smallCaps w:val="false"/>
              </w:rPr>
              <w:t> </w:t>
            </w:r>
          </w:p>
        </w:tc>
        <w:tc>
          <w:tcPr>
            <w:tcW w:w="925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Board Member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p>
      <w:pPr>
        <w:pStyle w:val="TextBody"/>
        <w:bidi w:val="0"/>
        <w:spacing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1087</Words>
  <Characters>5844</Characters>
  <CharactersWithSpaces>6915</CharactersWithSpaces>
  <Paragraphs>286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